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16813718"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21151E">
        <w:rPr>
          <w:rFonts w:ascii="Arial" w:hAnsi="Arial" w:cs="Arial"/>
          <w:b/>
          <w:sz w:val="24"/>
          <w:szCs w:val="28"/>
          <w:lang w:val="en-US"/>
        </w:rPr>
        <w:t>100</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044DF5">
        <w:rPr>
          <w:rFonts w:ascii="Arial" w:hAnsi="Arial" w:cs="Arial"/>
          <w:b/>
          <w:sz w:val="24"/>
          <w:szCs w:val="28"/>
          <w:lang w:val="en-US"/>
        </w:rPr>
        <w:t>1</w:t>
      </w:r>
      <w:r w:rsidR="00C162AE">
        <w:rPr>
          <w:rFonts w:ascii="Arial" w:hAnsi="Arial" w:cs="Arial"/>
          <w:b/>
          <w:sz w:val="24"/>
          <w:szCs w:val="28"/>
          <w:lang w:val="en-US"/>
        </w:rPr>
        <w:t>14464</w:t>
      </w:r>
    </w:p>
    <w:p w14:paraId="60407F1B" w14:textId="78A4A9D5"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3D4986">
        <w:rPr>
          <w:rFonts w:ascii="Arial" w:hAnsi="Arial" w:cs="Arial"/>
          <w:b/>
          <w:sz w:val="24"/>
          <w:szCs w:val="28"/>
          <w:lang w:val="en-US"/>
        </w:rPr>
        <w:t>1</w:t>
      </w:r>
      <w:r w:rsidR="0021151E">
        <w:rPr>
          <w:rFonts w:ascii="Arial" w:hAnsi="Arial" w:cs="Arial"/>
          <w:b/>
          <w:sz w:val="24"/>
          <w:szCs w:val="28"/>
          <w:lang w:val="en-US"/>
        </w:rPr>
        <w:t>6</w:t>
      </w:r>
      <w:r w:rsidR="00D00FAE">
        <w:rPr>
          <w:rFonts w:ascii="Arial" w:hAnsi="Arial" w:cs="Arial"/>
          <w:b/>
          <w:sz w:val="24"/>
          <w:szCs w:val="28"/>
          <w:lang w:val="en-US"/>
        </w:rPr>
        <w:t xml:space="preserve">-27 </w:t>
      </w:r>
      <w:r w:rsidR="0021151E">
        <w:rPr>
          <w:rFonts w:ascii="Arial" w:hAnsi="Arial" w:cs="Arial"/>
          <w:b/>
          <w:sz w:val="24"/>
          <w:szCs w:val="28"/>
          <w:lang w:val="en-US"/>
        </w:rPr>
        <w:t>August</w:t>
      </w:r>
      <w:r w:rsidR="00CC6F36" w:rsidRPr="001D2FBF">
        <w:rPr>
          <w:rFonts w:ascii="Arial" w:hAnsi="Arial" w:cs="Arial"/>
          <w:b/>
          <w:sz w:val="24"/>
          <w:szCs w:val="28"/>
          <w:lang w:val="en-US"/>
        </w:rPr>
        <w:t xml:space="preserve"> 20</w:t>
      </w:r>
      <w:r w:rsidR="00EE6163" w:rsidRPr="001D2FBF">
        <w:rPr>
          <w:rFonts w:ascii="Arial" w:hAnsi="Arial" w:cs="Arial"/>
          <w:b/>
          <w:sz w:val="24"/>
          <w:szCs w:val="28"/>
          <w:lang w:val="en-US"/>
        </w:rPr>
        <w:t>2</w:t>
      </w:r>
      <w:r w:rsidR="007B583D">
        <w:rPr>
          <w:rFonts w:ascii="Arial" w:hAnsi="Arial" w:cs="Arial"/>
          <w:b/>
          <w:sz w:val="24"/>
          <w:szCs w:val="28"/>
          <w:lang w:val="en-US"/>
        </w:rPr>
        <w:t>1</w:t>
      </w:r>
    </w:p>
    <w:p w14:paraId="25590F8B" w14:textId="2F8001FD"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3807D7">
        <w:rPr>
          <w:rFonts w:ascii="Arial" w:hAnsi="Arial" w:cs="Arial"/>
          <w:bCs/>
          <w:sz w:val="22"/>
          <w:szCs w:val="22"/>
          <w:lang w:val="en-US"/>
        </w:rPr>
        <w:t>9.17.3</w:t>
      </w:r>
    </w:p>
    <w:p w14:paraId="64B60E14" w14:textId="100A3464"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648FF9FA"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D00FAE">
        <w:rPr>
          <w:rFonts w:ascii="Arial" w:hAnsi="Arial" w:cs="Arial"/>
          <w:sz w:val="22"/>
          <w:szCs w:val="22"/>
        </w:rPr>
        <w:t xml:space="preserve">LS </w:t>
      </w:r>
      <w:r w:rsidR="00295937">
        <w:rPr>
          <w:rFonts w:ascii="Arial" w:hAnsi="Arial" w:cs="Arial"/>
          <w:sz w:val="22"/>
          <w:szCs w:val="22"/>
        </w:rPr>
        <w:t xml:space="preserve">Response </w:t>
      </w:r>
      <w:r w:rsidR="00170276" w:rsidRPr="00170276">
        <w:rPr>
          <w:rFonts w:ascii="Arial" w:hAnsi="Arial" w:cs="Arial"/>
          <w:sz w:val="22"/>
          <w:szCs w:val="22"/>
        </w:rPr>
        <w:t>on Inter-donor migration</w:t>
      </w:r>
    </w:p>
    <w:p w14:paraId="37EAE97F" w14:textId="4B218A06"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295937">
        <w:rPr>
          <w:rFonts w:ascii="Arial" w:hAnsi="Arial" w:cs="Arial"/>
          <w:sz w:val="22"/>
          <w:szCs w:val="22"/>
        </w:rPr>
        <w:t>Approval</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62381305" w14:textId="1AB9E4EA" w:rsidR="005C076B" w:rsidRDefault="00A84D49" w:rsidP="00BB0A7A">
      <w:pPr>
        <w:spacing w:before="120" w:after="0"/>
        <w:rPr>
          <w:sz w:val="22"/>
          <w:szCs w:val="22"/>
          <w:lang w:val="en-US"/>
        </w:rPr>
      </w:pPr>
      <w:r>
        <w:rPr>
          <w:sz w:val="22"/>
          <w:szCs w:val="22"/>
          <w:lang w:val="en-US"/>
        </w:rPr>
        <w:t xml:space="preserve">RAN4 has received an LS from RAN3 on </w:t>
      </w:r>
      <w:r w:rsidRPr="00A84D49">
        <w:rPr>
          <w:sz w:val="22"/>
          <w:szCs w:val="22"/>
          <w:lang w:val="en-US"/>
        </w:rPr>
        <w:t>Inter-donor migration</w:t>
      </w:r>
      <w:r>
        <w:rPr>
          <w:sz w:val="22"/>
          <w:szCs w:val="22"/>
          <w:lang w:val="en-US"/>
        </w:rPr>
        <w:t xml:space="preserve"> [1]. RAN4 has been requested to provide </w:t>
      </w:r>
      <w:r w:rsidR="008849EE">
        <w:rPr>
          <w:sz w:val="22"/>
          <w:szCs w:val="22"/>
          <w:lang w:val="en-US"/>
        </w:rPr>
        <w:t xml:space="preserve">feedback and </w:t>
      </w:r>
      <w:r>
        <w:rPr>
          <w:sz w:val="22"/>
          <w:szCs w:val="22"/>
          <w:lang w:val="en-US"/>
        </w:rPr>
        <w:t>response</w:t>
      </w:r>
      <w:r w:rsidR="008849EE">
        <w:rPr>
          <w:sz w:val="22"/>
          <w:szCs w:val="22"/>
          <w:lang w:val="en-US"/>
        </w:rPr>
        <w:t xml:space="preserve"> on different alternative discussed in the RAN3 LS.</w:t>
      </w:r>
    </w:p>
    <w:p w14:paraId="4BC9507D" w14:textId="7A7FD3E7" w:rsidR="007639E1" w:rsidRPr="003860F6" w:rsidRDefault="0065006A" w:rsidP="00BB0A7A">
      <w:pPr>
        <w:spacing w:before="120" w:after="0"/>
        <w:rPr>
          <w:sz w:val="22"/>
          <w:szCs w:val="22"/>
          <w:lang w:val="en-US"/>
        </w:rPr>
      </w:pPr>
      <w:r>
        <w:rPr>
          <w:sz w:val="22"/>
          <w:szCs w:val="22"/>
          <w:lang w:val="en-US"/>
        </w:rPr>
        <w:t xml:space="preserve">In this paper we analyze </w:t>
      </w:r>
      <w:r w:rsidR="00183017">
        <w:rPr>
          <w:sz w:val="22"/>
          <w:szCs w:val="22"/>
          <w:lang w:val="en-US"/>
        </w:rPr>
        <w:t xml:space="preserve">the </w:t>
      </w:r>
      <w:r w:rsidR="00BF43F4">
        <w:rPr>
          <w:sz w:val="22"/>
          <w:szCs w:val="22"/>
          <w:lang w:val="en-US"/>
        </w:rPr>
        <w:t>questions in the LS</w:t>
      </w:r>
      <w:r w:rsidR="00E53403">
        <w:rPr>
          <w:sz w:val="22"/>
          <w:szCs w:val="22"/>
          <w:lang w:val="en-US"/>
        </w:rPr>
        <w:t xml:space="preserve"> </w:t>
      </w:r>
      <w:r w:rsidR="00183017">
        <w:rPr>
          <w:sz w:val="22"/>
          <w:szCs w:val="22"/>
          <w:lang w:val="en-US"/>
        </w:rPr>
        <w:t>and provide draft of the response LS to RAN</w:t>
      </w:r>
      <w:r w:rsidR="00BF43F4">
        <w:rPr>
          <w:sz w:val="22"/>
          <w:szCs w:val="22"/>
          <w:lang w:val="en-US"/>
        </w:rPr>
        <w:t>3</w:t>
      </w:r>
      <w:r w:rsidR="00183017">
        <w:rPr>
          <w:sz w:val="22"/>
          <w:szCs w:val="22"/>
          <w:lang w:val="en-US"/>
        </w:rPr>
        <w:t xml:space="preserve">. </w:t>
      </w:r>
    </w:p>
    <w:p w14:paraId="7BFE3390" w14:textId="31C0FAE5" w:rsidR="00B663AD" w:rsidRDefault="00767EE4" w:rsidP="00B663AD">
      <w:pPr>
        <w:pStyle w:val="Heading1"/>
        <w:numPr>
          <w:ilvl w:val="0"/>
          <w:numId w:val="1"/>
        </w:numPr>
        <w:spacing w:before="360" w:after="0"/>
        <w:ind w:left="357" w:hanging="357"/>
      </w:pPr>
      <w:r>
        <w:t>Ana</w:t>
      </w:r>
      <w:r w:rsidR="00B5701F">
        <w:t xml:space="preserve">lysis and </w:t>
      </w:r>
      <w:r w:rsidR="00301CF0">
        <w:t>Discussion</w:t>
      </w:r>
    </w:p>
    <w:p w14:paraId="74FDF469" w14:textId="59286DB6" w:rsidR="00A84D49" w:rsidRPr="00B97728" w:rsidRDefault="00383031" w:rsidP="00BE4F23">
      <w:pPr>
        <w:spacing w:before="240" w:after="0"/>
        <w:rPr>
          <w:sz w:val="22"/>
          <w:szCs w:val="22"/>
        </w:rPr>
      </w:pPr>
      <w:r w:rsidRPr="00B97728">
        <w:rPr>
          <w:sz w:val="22"/>
          <w:szCs w:val="22"/>
        </w:rPr>
        <w:t>The RAN3 LS is fundamentally related to UE handover between cells pertaining to different logical IAB-DUs connected to separate CUs</w:t>
      </w:r>
      <w:r w:rsidR="00B03E9B" w:rsidRPr="00B97728">
        <w:rPr>
          <w:sz w:val="22"/>
          <w:szCs w:val="22"/>
        </w:rPr>
        <w:t xml:space="preserve">. </w:t>
      </w:r>
      <w:r w:rsidR="00BE4F23" w:rsidRPr="00B97728">
        <w:rPr>
          <w:sz w:val="22"/>
          <w:szCs w:val="22"/>
        </w:rPr>
        <w:t xml:space="preserve">According to the LS during the Full Migration, the UE connected to the boundary IAB-node will hand over from a cell of one logical DU controlled by CU1 to a cell of another logical DU controlled by CU2. </w:t>
      </w:r>
      <w:r w:rsidR="00BE4F23" w:rsidRPr="00B97728">
        <w:rPr>
          <w:sz w:val="22"/>
          <w:szCs w:val="22"/>
          <w:lang w:eastAsia="zh-CN"/>
        </w:rPr>
        <w:t xml:space="preserve">RAN3 is discussing the </w:t>
      </w:r>
      <w:r w:rsidR="00A84D49" w:rsidRPr="00B97728">
        <w:rPr>
          <w:sz w:val="22"/>
          <w:szCs w:val="22"/>
          <w:lang w:eastAsia="zh-CN"/>
        </w:rPr>
        <w:t>following two implementation alternatives</w:t>
      </w:r>
      <w:r w:rsidR="00FC313E" w:rsidRPr="00B97728">
        <w:rPr>
          <w:sz w:val="22"/>
          <w:szCs w:val="22"/>
          <w:lang w:eastAsia="zh-CN"/>
        </w:rPr>
        <w:t xml:space="preserve"> </w:t>
      </w:r>
      <w:r w:rsidR="00A84D49" w:rsidRPr="00B97728">
        <w:rPr>
          <w:sz w:val="22"/>
          <w:szCs w:val="22"/>
          <w:lang w:eastAsia="zh-CN"/>
        </w:rPr>
        <w:t>in the scope of Full Migration</w:t>
      </w:r>
      <w:r w:rsidR="00FC313E" w:rsidRPr="00B97728">
        <w:rPr>
          <w:sz w:val="22"/>
          <w:szCs w:val="22"/>
          <w:lang w:eastAsia="zh-CN"/>
        </w:rPr>
        <w:t xml:space="preserve"> and need feedback from other working groups including RAN4:</w:t>
      </w:r>
    </w:p>
    <w:p w14:paraId="4D965BB3" w14:textId="77777777" w:rsidR="00A84D49" w:rsidRPr="00B97728" w:rsidRDefault="00A84D49" w:rsidP="00BE4F23">
      <w:pPr>
        <w:widowControl w:val="0"/>
        <w:spacing w:before="120" w:after="120"/>
        <w:rPr>
          <w:sz w:val="22"/>
          <w:szCs w:val="22"/>
          <w:lang w:eastAsia="zh-CN"/>
        </w:rPr>
      </w:pPr>
      <w:r w:rsidRPr="00B97728">
        <w:rPr>
          <w:sz w:val="22"/>
          <w:szCs w:val="22"/>
          <w:lang w:eastAsia="zh-CN"/>
        </w:rPr>
        <w:t xml:space="preserve">- </w:t>
      </w:r>
      <w:r w:rsidRPr="00B97728">
        <w:rPr>
          <w:b/>
          <w:sz w:val="22"/>
          <w:szCs w:val="22"/>
          <w:lang w:eastAsia="zh-CN"/>
        </w:rPr>
        <w:t>Alt1</w:t>
      </w:r>
      <w:r w:rsidRPr="00B97728">
        <w:rPr>
          <w:sz w:val="22"/>
          <w:szCs w:val="22"/>
          <w:lang w:eastAsia="zh-CN"/>
        </w:rPr>
        <w:t>: the two logical DUs use separate physical cell resources</w:t>
      </w:r>
    </w:p>
    <w:p w14:paraId="1C48D019" w14:textId="77777777" w:rsidR="00A84D49" w:rsidRPr="00B97728" w:rsidRDefault="00A84D49" w:rsidP="00A84D49">
      <w:pPr>
        <w:widowControl w:val="0"/>
        <w:rPr>
          <w:sz w:val="22"/>
          <w:szCs w:val="22"/>
          <w:lang w:eastAsia="zh-CN"/>
        </w:rPr>
      </w:pPr>
      <w:r w:rsidRPr="00B97728">
        <w:rPr>
          <w:sz w:val="22"/>
          <w:szCs w:val="22"/>
          <w:lang w:eastAsia="zh-CN"/>
        </w:rPr>
        <w:t xml:space="preserve">- </w:t>
      </w:r>
      <w:r w:rsidRPr="00B97728">
        <w:rPr>
          <w:b/>
          <w:sz w:val="22"/>
          <w:szCs w:val="22"/>
          <w:lang w:eastAsia="zh-CN"/>
        </w:rPr>
        <w:t>Alt2</w:t>
      </w:r>
      <w:r w:rsidRPr="00B97728">
        <w:rPr>
          <w:sz w:val="22"/>
          <w:szCs w:val="22"/>
          <w:lang w:eastAsia="zh-CN"/>
        </w:rPr>
        <w:t>: the two logical DUs use the same physical cell resources</w:t>
      </w:r>
    </w:p>
    <w:p w14:paraId="5B6DF64D" w14:textId="186E8393" w:rsidR="00B97728" w:rsidRPr="00B97728" w:rsidRDefault="00B97728" w:rsidP="00B97728">
      <w:pPr>
        <w:snapToGrid w:val="0"/>
        <w:spacing w:before="100" w:beforeAutospacing="1" w:after="0" w:line="259" w:lineRule="auto"/>
        <w:rPr>
          <w:sz w:val="22"/>
          <w:szCs w:val="22"/>
          <w:lang w:eastAsia="zh-CN"/>
        </w:rPr>
      </w:pPr>
      <w:r w:rsidRPr="00B97728">
        <w:rPr>
          <w:rFonts w:eastAsia="DengXian"/>
          <w:sz w:val="22"/>
          <w:szCs w:val="22"/>
          <w:lang w:eastAsia="zh-CN"/>
        </w:rPr>
        <w:t xml:space="preserve">Furthermore, </w:t>
      </w:r>
      <w:r w:rsidRPr="00B97728">
        <w:rPr>
          <w:sz w:val="22"/>
          <w:szCs w:val="22"/>
          <w:lang w:eastAsia="zh-CN"/>
        </w:rPr>
        <w:t xml:space="preserve">for </w:t>
      </w:r>
      <w:r w:rsidRPr="00B97728">
        <w:rPr>
          <w:b/>
          <w:sz w:val="22"/>
          <w:szCs w:val="22"/>
          <w:lang w:eastAsia="zh-CN"/>
        </w:rPr>
        <w:t>Alt2</w:t>
      </w:r>
      <w:r w:rsidRPr="00B97728">
        <w:rPr>
          <w:sz w:val="22"/>
          <w:szCs w:val="22"/>
          <w:lang w:eastAsia="zh-CN"/>
        </w:rPr>
        <w:t xml:space="preserve">, RAN3 also has some concrete questions </w:t>
      </w:r>
      <w:proofErr w:type="spellStart"/>
      <w:r w:rsidRPr="00B97728">
        <w:rPr>
          <w:sz w:val="22"/>
          <w:szCs w:val="22"/>
          <w:lang w:eastAsia="zh-CN"/>
        </w:rPr>
        <w:t>w.r.t.</w:t>
      </w:r>
      <w:proofErr w:type="spellEnd"/>
      <w:r w:rsidRPr="00B97728">
        <w:rPr>
          <w:sz w:val="22"/>
          <w:szCs w:val="22"/>
          <w:lang w:eastAsia="zh-CN"/>
        </w:rPr>
        <w:t xml:space="preserve">, PCI/NCGI, i.e., </w:t>
      </w:r>
    </w:p>
    <w:p w14:paraId="248EC26A" w14:textId="77777777" w:rsidR="00B97728" w:rsidRPr="00B97728" w:rsidRDefault="00B97728" w:rsidP="00B97728">
      <w:pPr>
        <w:numPr>
          <w:ilvl w:val="0"/>
          <w:numId w:val="31"/>
        </w:numPr>
        <w:pBdr>
          <w:top w:val="single" w:sz="4" w:space="1" w:color="auto"/>
        </w:pBdr>
        <w:overflowPunct w:val="0"/>
        <w:autoSpaceDE w:val="0"/>
        <w:autoSpaceDN w:val="0"/>
        <w:adjustRightInd w:val="0"/>
        <w:spacing w:before="120" w:after="0" w:line="259" w:lineRule="auto"/>
        <w:ind w:left="357" w:hanging="357"/>
        <w:textAlignment w:val="baseline"/>
        <w:rPr>
          <w:b/>
          <w:i/>
          <w:iCs/>
          <w:sz w:val="22"/>
          <w:szCs w:val="22"/>
          <w:lang w:val="en-US" w:eastAsia="zh-CN"/>
        </w:rPr>
      </w:pPr>
      <w:r w:rsidRPr="00B97728">
        <w:rPr>
          <w:b/>
          <w:i/>
          <w:iCs/>
          <w:sz w:val="22"/>
          <w:szCs w:val="22"/>
          <w:lang w:val="en-US" w:eastAsia="zh-CN"/>
        </w:rPr>
        <w:t>Q1: Whether the current specification enables a RRC CONNECTED UE remains connected, while observing the change of NCGI, and no change to the PCI?</w:t>
      </w:r>
    </w:p>
    <w:p w14:paraId="13C51934" w14:textId="77777777" w:rsidR="00B97728" w:rsidRPr="00B97728" w:rsidRDefault="00B97728" w:rsidP="00B97728">
      <w:pPr>
        <w:numPr>
          <w:ilvl w:val="0"/>
          <w:numId w:val="31"/>
        </w:numPr>
        <w:overflowPunct w:val="0"/>
        <w:autoSpaceDE w:val="0"/>
        <w:autoSpaceDN w:val="0"/>
        <w:adjustRightInd w:val="0"/>
        <w:spacing w:after="0" w:line="259" w:lineRule="auto"/>
        <w:textAlignment w:val="baseline"/>
        <w:rPr>
          <w:b/>
          <w:i/>
          <w:iCs/>
          <w:sz w:val="22"/>
          <w:szCs w:val="22"/>
          <w:lang w:val="en-US" w:eastAsia="zh-CN"/>
        </w:rPr>
      </w:pPr>
      <w:r w:rsidRPr="00B97728">
        <w:rPr>
          <w:b/>
          <w:i/>
          <w:iCs/>
          <w:sz w:val="22"/>
          <w:szCs w:val="22"/>
          <w:lang w:val="en-US" w:eastAsia="zh-CN"/>
        </w:rPr>
        <w:t>Q2: is it possible to use same PCI for cell1 and cell2, and support the HO from cell1 to cell2 without new impact to the UE (</w:t>
      </w:r>
      <w:proofErr w:type="gramStart"/>
      <w:r w:rsidRPr="00B97728">
        <w:rPr>
          <w:b/>
          <w:i/>
          <w:iCs/>
          <w:sz w:val="22"/>
          <w:szCs w:val="22"/>
          <w:lang w:val="en-US" w:eastAsia="zh-CN"/>
        </w:rPr>
        <w:t>e.g.</w:t>
      </w:r>
      <w:proofErr w:type="gramEnd"/>
      <w:r w:rsidRPr="00B97728">
        <w:rPr>
          <w:b/>
          <w:i/>
          <w:iCs/>
          <w:sz w:val="22"/>
          <w:szCs w:val="22"/>
          <w:lang w:val="en-US" w:eastAsia="zh-CN"/>
        </w:rPr>
        <w:t xml:space="preserve"> a legacy UE)?</w:t>
      </w:r>
    </w:p>
    <w:p w14:paraId="0B649851" w14:textId="77777777" w:rsidR="00B97728" w:rsidRPr="00B97728" w:rsidRDefault="00B97728" w:rsidP="00B97728">
      <w:pPr>
        <w:numPr>
          <w:ilvl w:val="0"/>
          <w:numId w:val="31"/>
        </w:numPr>
        <w:pBdr>
          <w:bottom w:val="single" w:sz="4" w:space="1" w:color="auto"/>
        </w:pBdr>
        <w:overflowPunct w:val="0"/>
        <w:autoSpaceDE w:val="0"/>
        <w:autoSpaceDN w:val="0"/>
        <w:adjustRightInd w:val="0"/>
        <w:snapToGrid w:val="0"/>
        <w:spacing w:after="0" w:line="259" w:lineRule="auto"/>
        <w:textAlignment w:val="baseline"/>
        <w:rPr>
          <w:b/>
          <w:i/>
          <w:iCs/>
          <w:sz w:val="22"/>
          <w:szCs w:val="22"/>
          <w:lang w:val="en-US" w:eastAsia="zh-CN"/>
        </w:rPr>
      </w:pPr>
      <w:r w:rsidRPr="00B97728">
        <w:rPr>
          <w:b/>
          <w:i/>
          <w:iCs/>
          <w:sz w:val="22"/>
          <w:szCs w:val="22"/>
          <w:lang w:val="en-US" w:eastAsia="zh-CN"/>
        </w:rPr>
        <w:t>Q3: when cell1 and cell2 use different PCI/NCGI, is it possible to use one set of shared resource, without new impact to the UE?</w:t>
      </w:r>
    </w:p>
    <w:p w14:paraId="3095918F" w14:textId="22AA4362" w:rsidR="00A84D49" w:rsidRPr="00125408" w:rsidRDefault="00C53D10" w:rsidP="00A22FC8">
      <w:pPr>
        <w:spacing w:before="360" w:after="120"/>
        <w:rPr>
          <w:sz w:val="22"/>
          <w:szCs w:val="22"/>
          <w:lang w:val="en-US"/>
        </w:rPr>
      </w:pPr>
      <w:r w:rsidRPr="00125408">
        <w:rPr>
          <w:sz w:val="22"/>
          <w:szCs w:val="22"/>
          <w:lang w:val="en-US"/>
        </w:rPr>
        <w:t xml:space="preserve">RAN4 has specified the following types of handover requirements </w:t>
      </w:r>
      <w:r w:rsidR="003A2119" w:rsidRPr="00125408">
        <w:rPr>
          <w:b/>
          <w:bCs/>
          <w:sz w:val="22"/>
          <w:szCs w:val="22"/>
          <w:lang w:val="en-US"/>
        </w:rPr>
        <w:t>within NR</w:t>
      </w:r>
      <w:r w:rsidR="00A22FC8">
        <w:rPr>
          <w:sz w:val="22"/>
          <w:szCs w:val="22"/>
          <w:lang w:val="en-US"/>
        </w:rPr>
        <w:t xml:space="preserve"> in </w:t>
      </w:r>
      <w:r w:rsidR="007F2B0F" w:rsidRPr="00125408">
        <w:rPr>
          <w:sz w:val="22"/>
          <w:szCs w:val="22"/>
          <w:lang w:val="en-US"/>
        </w:rPr>
        <w:t>TS 38.133</w:t>
      </w:r>
      <w:r w:rsidR="003A2119" w:rsidRPr="00125408">
        <w:rPr>
          <w:sz w:val="22"/>
          <w:szCs w:val="22"/>
          <w:lang w:val="en-US"/>
        </w:rPr>
        <w:t>:</w:t>
      </w:r>
    </w:p>
    <w:p w14:paraId="70CFA8C4" w14:textId="41242CDA" w:rsidR="00553F9C" w:rsidRPr="00A22FC8" w:rsidRDefault="00C3165D" w:rsidP="00A22FC8">
      <w:pPr>
        <w:pStyle w:val="ListParagraph"/>
        <w:numPr>
          <w:ilvl w:val="0"/>
          <w:numId w:val="32"/>
        </w:numPr>
        <w:spacing w:before="120"/>
        <w:ind w:left="357" w:hanging="357"/>
        <w:contextualSpacing w:val="0"/>
        <w:rPr>
          <w:rFonts w:ascii="Times New Roman" w:hAnsi="Times New Roman"/>
          <w:szCs w:val="22"/>
        </w:rPr>
      </w:pPr>
      <w:r>
        <w:rPr>
          <w:rFonts w:ascii="Times New Roman" w:hAnsi="Times New Roman"/>
          <w:szCs w:val="22"/>
        </w:rPr>
        <w:t>Basic i</w:t>
      </w:r>
      <w:r w:rsidR="003A2119" w:rsidRPr="00A22FC8">
        <w:rPr>
          <w:rFonts w:ascii="Times New Roman" w:hAnsi="Times New Roman"/>
          <w:szCs w:val="22"/>
        </w:rPr>
        <w:t>ntra-frequency handover</w:t>
      </w:r>
      <w:r w:rsidR="007F2B0F" w:rsidRPr="00A22FC8">
        <w:rPr>
          <w:rFonts w:ascii="Times New Roman" w:hAnsi="Times New Roman"/>
          <w:szCs w:val="22"/>
        </w:rPr>
        <w:t xml:space="preserve"> </w:t>
      </w:r>
      <w:r w:rsidR="00553F9C" w:rsidRPr="00A22FC8">
        <w:rPr>
          <w:rFonts w:ascii="Times New Roman" w:hAnsi="Times New Roman"/>
          <w:szCs w:val="22"/>
        </w:rPr>
        <w:t xml:space="preserve">when serving </w:t>
      </w:r>
      <w:r w:rsidR="008A5168" w:rsidRPr="00A22FC8">
        <w:rPr>
          <w:rFonts w:ascii="Times New Roman" w:hAnsi="Times New Roman"/>
          <w:szCs w:val="22"/>
        </w:rPr>
        <w:t>cell (</w:t>
      </w:r>
      <w:r w:rsidR="00553F9C" w:rsidRPr="00A22FC8">
        <w:rPr>
          <w:rFonts w:ascii="Times New Roman" w:hAnsi="Times New Roman"/>
          <w:szCs w:val="22"/>
        </w:rPr>
        <w:t>cell1</w:t>
      </w:r>
      <w:r w:rsidR="008A5168" w:rsidRPr="00A22FC8">
        <w:rPr>
          <w:rFonts w:ascii="Times New Roman" w:hAnsi="Times New Roman"/>
          <w:szCs w:val="22"/>
        </w:rPr>
        <w:t>)</w:t>
      </w:r>
      <w:r w:rsidR="00553F9C" w:rsidRPr="00A22FC8">
        <w:rPr>
          <w:rFonts w:ascii="Times New Roman" w:hAnsi="Times New Roman"/>
          <w:szCs w:val="22"/>
        </w:rPr>
        <w:t xml:space="preserve"> is in FR1 or FR2 and the target </w:t>
      </w:r>
      <w:r w:rsidR="008A5168" w:rsidRPr="00A22FC8">
        <w:rPr>
          <w:rFonts w:ascii="Times New Roman" w:hAnsi="Times New Roman"/>
          <w:szCs w:val="22"/>
        </w:rPr>
        <w:t>cell (</w:t>
      </w:r>
      <w:r w:rsidR="00553F9C" w:rsidRPr="00A22FC8">
        <w:rPr>
          <w:rFonts w:ascii="Times New Roman" w:hAnsi="Times New Roman"/>
          <w:szCs w:val="22"/>
        </w:rPr>
        <w:t>cell</w:t>
      </w:r>
      <w:r w:rsidR="008A5168" w:rsidRPr="00A22FC8">
        <w:rPr>
          <w:rFonts w:ascii="Times New Roman" w:hAnsi="Times New Roman"/>
          <w:szCs w:val="22"/>
        </w:rPr>
        <w:t>2)</w:t>
      </w:r>
      <w:r w:rsidR="00553F9C" w:rsidRPr="00A22FC8">
        <w:rPr>
          <w:rFonts w:ascii="Times New Roman" w:hAnsi="Times New Roman"/>
          <w:szCs w:val="22"/>
        </w:rPr>
        <w:t xml:space="preserve"> is in FR1 or FR2</w:t>
      </w:r>
      <w:r w:rsidR="00A22FC8" w:rsidRPr="00A22FC8">
        <w:rPr>
          <w:rFonts w:ascii="Times New Roman" w:hAnsi="Times New Roman"/>
          <w:szCs w:val="22"/>
        </w:rPr>
        <w:t xml:space="preserve"> </w:t>
      </w:r>
      <w:r>
        <w:rPr>
          <w:rFonts w:ascii="Times New Roman" w:hAnsi="Times New Roman"/>
          <w:szCs w:val="22"/>
        </w:rPr>
        <w:t xml:space="preserve">since Rel-15 </w:t>
      </w:r>
      <w:r w:rsidR="00A22FC8">
        <w:rPr>
          <w:rFonts w:ascii="Times New Roman" w:hAnsi="Times New Roman"/>
          <w:szCs w:val="22"/>
        </w:rPr>
        <w:t>in clause 6.1.1</w:t>
      </w:r>
      <w:r w:rsidR="00553F9C" w:rsidRPr="00A22FC8">
        <w:rPr>
          <w:rFonts w:ascii="Times New Roman" w:hAnsi="Times New Roman"/>
          <w:szCs w:val="22"/>
        </w:rPr>
        <w:t>.</w:t>
      </w:r>
    </w:p>
    <w:p w14:paraId="375C49CF" w14:textId="5CB13360" w:rsidR="00A22FC8" w:rsidRPr="00C3165D" w:rsidRDefault="00C3165D" w:rsidP="00C3165D">
      <w:pPr>
        <w:pStyle w:val="ListParagraph"/>
        <w:numPr>
          <w:ilvl w:val="0"/>
          <w:numId w:val="32"/>
        </w:numPr>
        <w:spacing w:before="120"/>
        <w:ind w:left="357" w:hanging="357"/>
        <w:contextualSpacing w:val="0"/>
        <w:rPr>
          <w:rFonts w:ascii="Times New Roman" w:hAnsi="Times New Roman"/>
          <w:szCs w:val="22"/>
        </w:rPr>
      </w:pPr>
      <w:r>
        <w:rPr>
          <w:rFonts w:ascii="Times New Roman" w:hAnsi="Times New Roman"/>
          <w:szCs w:val="22"/>
        </w:rPr>
        <w:t>Basic i</w:t>
      </w:r>
      <w:r w:rsidR="00A16D7D" w:rsidRPr="00A22FC8">
        <w:rPr>
          <w:rFonts w:ascii="Times New Roman" w:hAnsi="Times New Roman"/>
          <w:szCs w:val="22"/>
        </w:rPr>
        <w:t xml:space="preserve">nter-frequency handover </w:t>
      </w:r>
      <w:r w:rsidR="00553F9C" w:rsidRPr="00A22FC8">
        <w:rPr>
          <w:rFonts w:ascii="Times New Roman" w:hAnsi="Times New Roman"/>
          <w:szCs w:val="22"/>
        </w:rPr>
        <w:t>when</w:t>
      </w:r>
      <w:r w:rsidR="008A5168" w:rsidRPr="00A22FC8">
        <w:rPr>
          <w:rFonts w:ascii="Times New Roman" w:hAnsi="Times New Roman"/>
          <w:szCs w:val="22"/>
        </w:rPr>
        <w:t xml:space="preserve"> </w:t>
      </w:r>
      <w:r w:rsidR="00553F9C" w:rsidRPr="00A22FC8">
        <w:rPr>
          <w:rFonts w:ascii="Times New Roman" w:hAnsi="Times New Roman"/>
          <w:szCs w:val="22"/>
        </w:rPr>
        <w:t>cell1 is in FR1 or FR2 and cell</w:t>
      </w:r>
      <w:r w:rsidR="008A5168" w:rsidRPr="00A22FC8">
        <w:rPr>
          <w:rFonts w:ascii="Times New Roman" w:hAnsi="Times New Roman"/>
          <w:szCs w:val="22"/>
        </w:rPr>
        <w:t>2</w:t>
      </w:r>
      <w:r w:rsidR="00553F9C" w:rsidRPr="00A22FC8">
        <w:rPr>
          <w:rFonts w:ascii="Times New Roman" w:hAnsi="Times New Roman"/>
          <w:szCs w:val="22"/>
        </w:rPr>
        <w:t xml:space="preserve"> is in FR1 or FR2</w:t>
      </w:r>
      <w:r>
        <w:rPr>
          <w:rFonts w:ascii="Times New Roman" w:hAnsi="Times New Roman"/>
          <w:szCs w:val="22"/>
        </w:rPr>
        <w:t xml:space="preserve"> in clause 6.1.1</w:t>
      </w:r>
      <w:r w:rsidRPr="00A22FC8">
        <w:rPr>
          <w:rFonts w:ascii="Times New Roman" w:hAnsi="Times New Roman"/>
          <w:szCs w:val="22"/>
        </w:rPr>
        <w:t>.</w:t>
      </w:r>
      <w:r w:rsidRPr="00C3165D">
        <w:rPr>
          <w:szCs w:val="22"/>
        </w:rPr>
        <w:t xml:space="preserve"> </w:t>
      </w:r>
    </w:p>
    <w:p w14:paraId="40FD0E79" w14:textId="1B99AE8B" w:rsidR="00A22FC8" w:rsidRPr="00A22FC8" w:rsidRDefault="00C3165D" w:rsidP="00A22FC8">
      <w:pPr>
        <w:pStyle w:val="ListParagraph"/>
        <w:numPr>
          <w:ilvl w:val="0"/>
          <w:numId w:val="32"/>
        </w:numPr>
        <w:spacing w:before="120"/>
        <w:ind w:left="357" w:hanging="357"/>
        <w:contextualSpacing w:val="0"/>
        <w:rPr>
          <w:rFonts w:ascii="Times New Roman" w:hAnsi="Times New Roman"/>
          <w:szCs w:val="22"/>
        </w:rPr>
      </w:pPr>
      <w:r>
        <w:rPr>
          <w:rFonts w:ascii="Times New Roman" w:hAnsi="Times New Roman"/>
          <w:szCs w:val="22"/>
        </w:rPr>
        <w:t>I</w:t>
      </w:r>
      <w:r w:rsidR="0050069B" w:rsidRPr="00A22FC8">
        <w:rPr>
          <w:rFonts w:ascii="Times New Roman" w:hAnsi="Times New Roman"/>
          <w:szCs w:val="22"/>
        </w:rPr>
        <w:t xml:space="preserve">ntra-frequency </w:t>
      </w:r>
      <w:r w:rsidR="00A412D5" w:rsidRPr="00A22FC8">
        <w:rPr>
          <w:rFonts w:ascii="Times New Roman" w:hAnsi="Times New Roman"/>
          <w:szCs w:val="22"/>
        </w:rPr>
        <w:t xml:space="preserve">DAPS </w:t>
      </w:r>
      <w:r w:rsidR="0050069B" w:rsidRPr="00A22FC8">
        <w:rPr>
          <w:rFonts w:ascii="Times New Roman" w:hAnsi="Times New Roman"/>
          <w:szCs w:val="22"/>
        </w:rPr>
        <w:t xml:space="preserve">handover and inter-frequency </w:t>
      </w:r>
      <w:r w:rsidR="00A412D5" w:rsidRPr="00A22FC8">
        <w:rPr>
          <w:rFonts w:ascii="Times New Roman" w:hAnsi="Times New Roman"/>
          <w:szCs w:val="22"/>
        </w:rPr>
        <w:t xml:space="preserve">DAPS </w:t>
      </w:r>
      <w:r w:rsidR="0050069B" w:rsidRPr="00A22FC8">
        <w:rPr>
          <w:rFonts w:ascii="Times New Roman" w:hAnsi="Times New Roman"/>
          <w:szCs w:val="22"/>
        </w:rPr>
        <w:t xml:space="preserve">handover </w:t>
      </w:r>
      <w:r w:rsidR="008A5168" w:rsidRPr="00A22FC8">
        <w:rPr>
          <w:rFonts w:ascii="Times New Roman" w:hAnsi="Times New Roman"/>
          <w:szCs w:val="22"/>
        </w:rPr>
        <w:t>for different combination</w:t>
      </w:r>
      <w:r w:rsidR="003E6EB4" w:rsidRPr="00A22FC8">
        <w:rPr>
          <w:rFonts w:ascii="Times New Roman" w:hAnsi="Times New Roman"/>
          <w:szCs w:val="22"/>
        </w:rPr>
        <w:t>s</w:t>
      </w:r>
      <w:r w:rsidR="008A5168" w:rsidRPr="00A22FC8">
        <w:rPr>
          <w:rFonts w:ascii="Times New Roman" w:hAnsi="Times New Roman"/>
          <w:szCs w:val="22"/>
        </w:rPr>
        <w:t xml:space="preserve"> of </w:t>
      </w:r>
      <w:r w:rsidR="003E6EB4" w:rsidRPr="00A22FC8">
        <w:rPr>
          <w:rFonts w:ascii="Times New Roman" w:hAnsi="Times New Roman"/>
          <w:szCs w:val="22"/>
        </w:rPr>
        <w:t>cell1 in FR1/FR2 and cell2 in FR1/FR2 s</w:t>
      </w:r>
      <w:r w:rsidR="0049552D" w:rsidRPr="00A22FC8">
        <w:rPr>
          <w:rFonts w:ascii="Times New Roman" w:hAnsi="Times New Roman"/>
          <w:szCs w:val="22"/>
        </w:rPr>
        <w:t>i</w:t>
      </w:r>
      <w:r w:rsidR="003E6EB4" w:rsidRPr="00A22FC8">
        <w:rPr>
          <w:rFonts w:ascii="Times New Roman" w:hAnsi="Times New Roman"/>
          <w:szCs w:val="22"/>
        </w:rPr>
        <w:t>nce Rel-1</w:t>
      </w:r>
      <w:r>
        <w:rPr>
          <w:rFonts w:ascii="Times New Roman" w:hAnsi="Times New Roman"/>
          <w:szCs w:val="22"/>
        </w:rPr>
        <w:t>6</w:t>
      </w:r>
      <w:r w:rsidR="003E6EB4" w:rsidRPr="00A22FC8">
        <w:rPr>
          <w:rFonts w:ascii="Times New Roman" w:hAnsi="Times New Roman"/>
          <w:szCs w:val="22"/>
        </w:rPr>
        <w:t xml:space="preserve"> in clause 6.1.</w:t>
      </w:r>
      <w:r w:rsidR="0049552D" w:rsidRPr="00A22FC8">
        <w:rPr>
          <w:rFonts w:ascii="Times New Roman" w:hAnsi="Times New Roman"/>
          <w:szCs w:val="22"/>
        </w:rPr>
        <w:t>3</w:t>
      </w:r>
      <w:r w:rsidR="003E6EB4" w:rsidRPr="00A22FC8">
        <w:rPr>
          <w:rFonts w:ascii="Times New Roman" w:hAnsi="Times New Roman"/>
          <w:szCs w:val="22"/>
        </w:rPr>
        <w:t>, TS 38.133.</w:t>
      </w:r>
    </w:p>
    <w:p w14:paraId="2F618B2A" w14:textId="684114CF" w:rsidR="003E6EB4" w:rsidRPr="00A22FC8" w:rsidRDefault="00C3165D" w:rsidP="00A22FC8">
      <w:pPr>
        <w:pStyle w:val="ListParagraph"/>
        <w:numPr>
          <w:ilvl w:val="0"/>
          <w:numId w:val="32"/>
        </w:numPr>
        <w:spacing w:before="120"/>
        <w:ind w:left="357" w:hanging="357"/>
        <w:contextualSpacing w:val="0"/>
        <w:rPr>
          <w:rFonts w:ascii="Times New Roman" w:hAnsi="Times New Roman"/>
          <w:szCs w:val="22"/>
        </w:rPr>
      </w:pPr>
      <w:r>
        <w:rPr>
          <w:rFonts w:ascii="Times New Roman" w:hAnsi="Times New Roman"/>
          <w:szCs w:val="22"/>
        </w:rPr>
        <w:t>I</w:t>
      </w:r>
      <w:r w:rsidR="003E6EB4" w:rsidRPr="00A22FC8">
        <w:rPr>
          <w:rFonts w:ascii="Times New Roman" w:hAnsi="Times New Roman"/>
          <w:szCs w:val="22"/>
        </w:rPr>
        <w:t xml:space="preserve">ntra-frequency </w:t>
      </w:r>
      <w:proofErr w:type="spellStart"/>
      <w:r w:rsidR="003E6EB4" w:rsidRPr="00A22FC8">
        <w:rPr>
          <w:rFonts w:ascii="Times New Roman" w:hAnsi="Times New Roman"/>
          <w:szCs w:val="22"/>
        </w:rPr>
        <w:t>condtional</w:t>
      </w:r>
      <w:proofErr w:type="spellEnd"/>
      <w:r w:rsidR="003E6EB4" w:rsidRPr="00A22FC8">
        <w:rPr>
          <w:rFonts w:ascii="Times New Roman" w:hAnsi="Times New Roman"/>
          <w:szCs w:val="22"/>
        </w:rPr>
        <w:t xml:space="preserve"> handover and inter-frequency conditional handover for different combinations of cell1 in FR1/FR2 and cell2 in FR1/FR2 s</w:t>
      </w:r>
      <w:r w:rsidR="0049552D" w:rsidRPr="00A22FC8">
        <w:rPr>
          <w:rFonts w:ascii="Times New Roman" w:hAnsi="Times New Roman"/>
          <w:szCs w:val="22"/>
        </w:rPr>
        <w:t>i</w:t>
      </w:r>
      <w:r w:rsidR="003E6EB4" w:rsidRPr="00A22FC8">
        <w:rPr>
          <w:rFonts w:ascii="Times New Roman" w:hAnsi="Times New Roman"/>
          <w:szCs w:val="22"/>
        </w:rPr>
        <w:t>nce Rel-1</w:t>
      </w:r>
      <w:r>
        <w:rPr>
          <w:rFonts w:ascii="Times New Roman" w:hAnsi="Times New Roman"/>
          <w:szCs w:val="22"/>
        </w:rPr>
        <w:t>6</w:t>
      </w:r>
      <w:r w:rsidR="003E6EB4" w:rsidRPr="00A22FC8">
        <w:rPr>
          <w:rFonts w:ascii="Times New Roman" w:hAnsi="Times New Roman"/>
          <w:szCs w:val="22"/>
        </w:rPr>
        <w:t xml:space="preserve"> in clause 6.1.</w:t>
      </w:r>
      <w:r w:rsidR="0049552D" w:rsidRPr="00A22FC8">
        <w:rPr>
          <w:rFonts w:ascii="Times New Roman" w:hAnsi="Times New Roman"/>
          <w:szCs w:val="22"/>
        </w:rPr>
        <w:t>4</w:t>
      </w:r>
      <w:r w:rsidR="003E6EB4" w:rsidRPr="00A22FC8">
        <w:rPr>
          <w:rFonts w:ascii="Times New Roman" w:hAnsi="Times New Roman"/>
          <w:szCs w:val="22"/>
        </w:rPr>
        <w:t>, TS 38.133.</w:t>
      </w:r>
    </w:p>
    <w:p w14:paraId="6362671A" w14:textId="7A42476B" w:rsidR="00C3165D" w:rsidRPr="008F62CF" w:rsidRDefault="00C3165D" w:rsidP="00C3165D">
      <w:pPr>
        <w:spacing w:before="240"/>
        <w:rPr>
          <w:sz w:val="22"/>
          <w:szCs w:val="22"/>
        </w:rPr>
      </w:pPr>
      <w:r w:rsidRPr="008F62CF">
        <w:rPr>
          <w:sz w:val="22"/>
          <w:szCs w:val="22"/>
        </w:rPr>
        <w:t xml:space="preserve">RAN4 has also specified the following CGI requirement </w:t>
      </w:r>
      <w:r w:rsidR="00276FB3" w:rsidRPr="008F62CF">
        <w:rPr>
          <w:sz w:val="22"/>
          <w:szCs w:val="22"/>
        </w:rPr>
        <w:t xml:space="preserve">for a target NR cell </w:t>
      </w:r>
      <w:r w:rsidRPr="008F62CF">
        <w:rPr>
          <w:sz w:val="22"/>
          <w:szCs w:val="22"/>
        </w:rPr>
        <w:t xml:space="preserve">since Rel-16 in </w:t>
      </w:r>
      <w:r w:rsidRPr="008F62CF">
        <w:rPr>
          <w:bCs/>
          <w:sz w:val="22"/>
          <w:szCs w:val="22"/>
          <w:lang w:val="en-US" w:eastAsia="zh-CN"/>
        </w:rPr>
        <w:t>clause 9.11, TS 38.133:</w:t>
      </w:r>
    </w:p>
    <w:p w14:paraId="78A62CB5" w14:textId="5ECFCD94" w:rsidR="00C3165D" w:rsidRPr="008F62CF" w:rsidRDefault="00C3165D" w:rsidP="00C3165D">
      <w:pPr>
        <w:pStyle w:val="ListParagraph"/>
        <w:numPr>
          <w:ilvl w:val="0"/>
          <w:numId w:val="33"/>
        </w:numPr>
        <w:rPr>
          <w:rFonts w:ascii="Times New Roman" w:hAnsi="Times New Roman"/>
          <w:szCs w:val="22"/>
        </w:rPr>
      </w:pPr>
      <w:r w:rsidRPr="008F62CF">
        <w:rPr>
          <w:rFonts w:ascii="Times New Roman" w:hAnsi="Times New Roman"/>
          <w:szCs w:val="22"/>
        </w:rPr>
        <w:t xml:space="preserve">CGI identification </w:t>
      </w:r>
      <w:r w:rsidR="00276FB3" w:rsidRPr="008F62CF">
        <w:rPr>
          <w:rFonts w:ascii="Times New Roman" w:hAnsi="Times New Roman"/>
          <w:szCs w:val="22"/>
        </w:rPr>
        <w:t xml:space="preserve">delay </w:t>
      </w:r>
      <w:r w:rsidRPr="008F62CF">
        <w:rPr>
          <w:rFonts w:ascii="Times New Roman" w:hAnsi="Times New Roman"/>
          <w:szCs w:val="22"/>
        </w:rPr>
        <w:t>of an NR cell with autonomous gaps</w:t>
      </w:r>
      <w:r w:rsidR="00276FB3" w:rsidRPr="008F62CF">
        <w:rPr>
          <w:rFonts w:ascii="Times New Roman" w:hAnsi="Times New Roman"/>
          <w:szCs w:val="22"/>
        </w:rPr>
        <w:t xml:space="preserve"> </w:t>
      </w:r>
      <w:r w:rsidR="00276FB3" w:rsidRPr="008F62CF">
        <w:rPr>
          <w:rFonts w:ascii="Times New Roman" w:hAnsi="Times New Roman"/>
        </w:rPr>
        <w:t xml:space="preserve">when configured with </w:t>
      </w:r>
      <w:r w:rsidRPr="008F62CF">
        <w:rPr>
          <w:rFonts w:ascii="Times New Roman" w:hAnsi="Times New Roman"/>
        </w:rPr>
        <w:t xml:space="preserve">the purpose of </w:t>
      </w:r>
      <w:r w:rsidR="00276FB3" w:rsidRPr="008F62CF">
        <w:rPr>
          <w:rFonts w:ascii="Times New Roman" w:hAnsi="Times New Roman"/>
        </w:rPr>
        <w:t>“</w:t>
      </w:r>
      <w:proofErr w:type="spellStart"/>
      <w:r w:rsidRPr="008F62CF">
        <w:rPr>
          <w:rFonts w:ascii="Times New Roman" w:hAnsi="Times New Roman"/>
        </w:rPr>
        <w:t>reportCGI</w:t>
      </w:r>
      <w:proofErr w:type="spellEnd"/>
      <w:r w:rsidR="00276FB3" w:rsidRPr="008F62CF">
        <w:rPr>
          <w:rFonts w:ascii="Times New Roman" w:hAnsi="Times New Roman"/>
        </w:rPr>
        <w:t>”.</w:t>
      </w:r>
    </w:p>
    <w:p w14:paraId="574F1729" w14:textId="77777777" w:rsidR="00C3165D" w:rsidRDefault="00C3165D" w:rsidP="003E6EB4">
      <w:pPr>
        <w:rPr>
          <w:sz w:val="22"/>
          <w:szCs w:val="22"/>
          <w:lang w:val="en-US"/>
        </w:rPr>
      </w:pPr>
    </w:p>
    <w:p w14:paraId="1906F51D" w14:textId="69A08B42" w:rsidR="0049552D" w:rsidRDefault="000C20E6" w:rsidP="003E6EB4">
      <w:pPr>
        <w:rPr>
          <w:sz w:val="22"/>
          <w:szCs w:val="22"/>
          <w:lang w:val="en-US"/>
        </w:rPr>
      </w:pPr>
      <w:r>
        <w:rPr>
          <w:sz w:val="22"/>
          <w:szCs w:val="22"/>
          <w:lang w:val="en-US"/>
        </w:rPr>
        <w:lastRenderedPageBreak/>
        <w:t>A</w:t>
      </w:r>
      <w:r w:rsidR="0049552D" w:rsidRPr="00125408">
        <w:rPr>
          <w:sz w:val="22"/>
          <w:szCs w:val="22"/>
          <w:lang w:val="en-US"/>
        </w:rPr>
        <w:t xml:space="preserve">ll the above </w:t>
      </w:r>
      <w:r w:rsidR="0045460F">
        <w:rPr>
          <w:sz w:val="22"/>
          <w:szCs w:val="22"/>
          <w:lang w:val="en-US"/>
        </w:rPr>
        <w:t xml:space="preserve">HO </w:t>
      </w:r>
      <w:r w:rsidR="0049552D" w:rsidRPr="00125408">
        <w:rPr>
          <w:sz w:val="22"/>
          <w:szCs w:val="22"/>
          <w:lang w:val="en-US"/>
        </w:rPr>
        <w:t xml:space="preserve">requirements are </w:t>
      </w:r>
      <w:r>
        <w:rPr>
          <w:sz w:val="22"/>
          <w:szCs w:val="22"/>
          <w:lang w:val="en-US"/>
        </w:rPr>
        <w:t>defined in terms of handover delay on “physical layer” level. The HO delay</w:t>
      </w:r>
      <w:r w:rsidR="008B607D">
        <w:rPr>
          <w:sz w:val="22"/>
          <w:szCs w:val="22"/>
          <w:lang w:val="en-US"/>
        </w:rPr>
        <w:t xml:space="preserve"> </w:t>
      </w:r>
      <w:r w:rsidR="00AF4ED1">
        <w:rPr>
          <w:sz w:val="22"/>
          <w:szCs w:val="22"/>
          <w:lang w:val="en-US"/>
        </w:rPr>
        <w:t>comprises of the “</w:t>
      </w:r>
      <w:r>
        <w:rPr>
          <w:sz w:val="22"/>
          <w:szCs w:val="22"/>
          <w:lang w:val="en-US"/>
        </w:rPr>
        <w:t>time period</w:t>
      </w:r>
      <w:r w:rsidR="00AF4ED1">
        <w:rPr>
          <w:sz w:val="22"/>
          <w:szCs w:val="22"/>
          <w:lang w:val="en-US"/>
        </w:rPr>
        <w:t>”</w:t>
      </w:r>
      <w:r>
        <w:rPr>
          <w:sz w:val="22"/>
          <w:szCs w:val="22"/>
          <w:lang w:val="en-US"/>
        </w:rPr>
        <w:t xml:space="preserve"> from the moment </w:t>
      </w:r>
      <w:r w:rsidR="00AF4ED1">
        <w:rPr>
          <w:sz w:val="22"/>
          <w:szCs w:val="22"/>
          <w:lang w:val="en-US"/>
        </w:rPr>
        <w:t xml:space="preserve">the UE </w:t>
      </w:r>
      <w:r>
        <w:rPr>
          <w:sz w:val="22"/>
          <w:szCs w:val="22"/>
          <w:lang w:val="en-US"/>
        </w:rPr>
        <w:t>receive</w:t>
      </w:r>
      <w:r w:rsidR="00AF4ED1">
        <w:rPr>
          <w:sz w:val="22"/>
          <w:szCs w:val="22"/>
          <w:lang w:val="en-US"/>
        </w:rPr>
        <w:t>s</w:t>
      </w:r>
      <w:r>
        <w:rPr>
          <w:sz w:val="22"/>
          <w:szCs w:val="22"/>
          <w:lang w:val="en-US"/>
        </w:rPr>
        <w:t xml:space="preserve"> the RRC command for HO </w:t>
      </w:r>
      <w:r w:rsidR="008376AE">
        <w:rPr>
          <w:sz w:val="22"/>
          <w:szCs w:val="22"/>
          <w:lang w:val="en-US"/>
        </w:rPr>
        <w:t xml:space="preserve">from </w:t>
      </w:r>
      <w:r w:rsidR="00C66EA7">
        <w:rPr>
          <w:sz w:val="22"/>
          <w:szCs w:val="22"/>
          <w:lang w:val="en-US"/>
        </w:rPr>
        <w:t>the serving cell (</w:t>
      </w:r>
      <w:r w:rsidR="008376AE">
        <w:rPr>
          <w:sz w:val="22"/>
          <w:szCs w:val="22"/>
          <w:lang w:val="en-US"/>
        </w:rPr>
        <w:t>cell1</w:t>
      </w:r>
      <w:r w:rsidR="00C66EA7">
        <w:rPr>
          <w:sz w:val="22"/>
          <w:szCs w:val="22"/>
          <w:lang w:val="en-US"/>
        </w:rPr>
        <w:t xml:space="preserve">) </w:t>
      </w:r>
      <w:r w:rsidR="008376AE">
        <w:rPr>
          <w:sz w:val="22"/>
          <w:szCs w:val="22"/>
          <w:lang w:val="en-US"/>
        </w:rPr>
        <w:t xml:space="preserve">until the moment the UE sends </w:t>
      </w:r>
      <w:r w:rsidR="00C66EA7">
        <w:rPr>
          <w:sz w:val="22"/>
          <w:szCs w:val="22"/>
          <w:lang w:val="en-US"/>
        </w:rPr>
        <w:t xml:space="preserve">PRACH to the target cell (cell2). </w:t>
      </w:r>
    </w:p>
    <w:p w14:paraId="4F0B547E" w14:textId="21B0679D" w:rsidR="00CB4D0A" w:rsidRDefault="00CB4D0A" w:rsidP="003E6EB4">
      <w:pPr>
        <w:rPr>
          <w:sz w:val="22"/>
          <w:szCs w:val="22"/>
          <w:lang w:val="en-US"/>
        </w:rPr>
      </w:pPr>
      <w:r>
        <w:rPr>
          <w:sz w:val="22"/>
          <w:szCs w:val="22"/>
          <w:lang w:val="en-US"/>
        </w:rPr>
        <w:t>A</w:t>
      </w:r>
      <w:r w:rsidRPr="00125408">
        <w:rPr>
          <w:sz w:val="22"/>
          <w:szCs w:val="22"/>
          <w:lang w:val="en-US"/>
        </w:rPr>
        <w:t>l</w:t>
      </w:r>
      <w:r>
        <w:rPr>
          <w:sz w:val="22"/>
          <w:szCs w:val="22"/>
          <w:lang w:val="en-US"/>
        </w:rPr>
        <w:t>so</w:t>
      </w:r>
      <w:r w:rsidR="00105941">
        <w:rPr>
          <w:sz w:val="22"/>
          <w:szCs w:val="22"/>
          <w:lang w:val="en-US"/>
        </w:rPr>
        <w:t>,</w:t>
      </w:r>
      <w:r>
        <w:rPr>
          <w:sz w:val="22"/>
          <w:szCs w:val="22"/>
          <w:lang w:val="en-US"/>
        </w:rPr>
        <w:t xml:space="preserve"> </w:t>
      </w:r>
      <w:r w:rsidRPr="00125408">
        <w:rPr>
          <w:sz w:val="22"/>
          <w:szCs w:val="22"/>
          <w:lang w:val="en-US"/>
        </w:rPr>
        <w:t xml:space="preserve">the above </w:t>
      </w:r>
      <w:r w:rsidR="00B77A01">
        <w:rPr>
          <w:sz w:val="22"/>
          <w:szCs w:val="22"/>
          <w:lang w:val="en-US"/>
        </w:rPr>
        <w:t>CGI i</w:t>
      </w:r>
      <w:r w:rsidR="00B77A01" w:rsidRPr="00B77A01">
        <w:rPr>
          <w:sz w:val="22"/>
          <w:szCs w:val="22"/>
          <w:lang w:val="en-US"/>
        </w:rPr>
        <w:t xml:space="preserve">dentification </w:t>
      </w:r>
      <w:r w:rsidRPr="00125408">
        <w:rPr>
          <w:sz w:val="22"/>
          <w:szCs w:val="22"/>
          <w:lang w:val="en-US"/>
        </w:rPr>
        <w:t xml:space="preserve">requirements are </w:t>
      </w:r>
      <w:r>
        <w:rPr>
          <w:sz w:val="22"/>
          <w:szCs w:val="22"/>
          <w:lang w:val="en-US"/>
        </w:rPr>
        <w:t xml:space="preserve">defined in terms of </w:t>
      </w:r>
      <w:r w:rsidR="00B77A01">
        <w:rPr>
          <w:sz w:val="22"/>
          <w:szCs w:val="22"/>
          <w:lang w:val="en-US"/>
        </w:rPr>
        <w:t xml:space="preserve">CGI </w:t>
      </w:r>
      <w:r w:rsidR="00105941">
        <w:rPr>
          <w:sz w:val="22"/>
          <w:szCs w:val="22"/>
          <w:lang w:val="en-US"/>
        </w:rPr>
        <w:t xml:space="preserve">identification </w:t>
      </w:r>
      <w:r>
        <w:rPr>
          <w:sz w:val="22"/>
          <w:szCs w:val="22"/>
          <w:lang w:val="en-US"/>
        </w:rPr>
        <w:t xml:space="preserve">delay on “physical layer” level. The </w:t>
      </w:r>
      <w:r w:rsidR="00B77A01">
        <w:rPr>
          <w:sz w:val="22"/>
          <w:szCs w:val="22"/>
          <w:lang w:val="en-US"/>
        </w:rPr>
        <w:t xml:space="preserve">CGI </w:t>
      </w:r>
      <w:r w:rsidR="00105941">
        <w:rPr>
          <w:sz w:val="22"/>
          <w:szCs w:val="22"/>
          <w:lang w:val="en-US"/>
        </w:rPr>
        <w:t xml:space="preserve">identification </w:t>
      </w:r>
      <w:r>
        <w:rPr>
          <w:sz w:val="22"/>
          <w:szCs w:val="22"/>
          <w:lang w:val="en-US"/>
        </w:rPr>
        <w:t xml:space="preserve">delay comprises of the “time period” from the moment the UE receives the RRC command </w:t>
      </w:r>
      <w:r w:rsidR="00834BED">
        <w:rPr>
          <w:sz w:val="22"/>
          <w:szCs w:val="22"/>
          <w:lang w:val="en-US"/>
        </w:rPr>
        <w:t>from cell1 to acquir</w:t>
      </w:r>
      <w:r w:rsidR="00933D2A">
        <w:rPr>
          <w:sz w:val="22"/>
          <w:szCs w:val="22"/>
          <w:lang w:val="en-US"/>
        </w:rPr>
        <w:t>e</w:t>
      </w:r>
      <w:r w:rsidR="00834BED">
        <w:rPr>
          <w:sz w:val="22"/>
          <w:szCs w:val="22"/>
          <w:lang w:val="en-US"/>
        </w:rPr>
        <w:t xml:space="preserve"> </w:t>
      </w:r>
      <w:r w:rsidR="00933D2A">
        <w:rPr>
          <w:sz w:val="22"/>
          <w:szCs w:val="22"/>
          <w:lang w:val="en-US"/>
        </w:rPr>
        <w:t xml:space="preserve">the </w:t>
      </w:r>
      <w:r w:rsidR="00834BED">
        <w:rPr>
          <w:sz w:val="22"/>
          <w:szCs w:val="22"/>
          <w:lang w:val="en-US"/>
        </w:rPr>
        <w:t xml:space="preserve">CGI </w:t>
      </w:r>
      <w:r>
        <w:rPr>
          <w:sz w:val="22"/>
          <w:szCs w:val="22"/>
          <w:lang w:val="en-US"/>
        </w:rPr>
        <w:t xml:space="preserve">until the moment the UE sends </w:t>
      </w:r>
      <w:r w:rsidR="00933D2A">
        <w:rPr>
          <w:sz w:val="22"/>
          <w:szCs w:val="22"/>
          <w:lang w:val="en-US"/>
        </w:rPr>
        <w:t>the measurement report</w:t>
      </w:r>
      <w:r w:rsidR="007F751A">
        <w:rPr>
          <w:sz w:val="22"/>
          <w:szCs w:val="22"/>
          <w:lang w:val="en-US"/>
        </w:rPr>
        <w:t xml:space="preserve"> to cell. The measurement report </w:t>
      </w:r>
      <w:r w:rsidR="00933D2A">
        <w:rPr>
          <w:sz w:val="22"/>
          <w:szCs w:val="22"/>
          <w:lang w:val="en-US"/>
        </w:rPr>
        <w:t xml:space="preserve">includes the </w:t>
      </w:r>
      <w:r w:rsidR="007F751A">
        <w:rPr>
          <w:sz w:val="22"/>
          <w:szCs w:val="22"/>
          <w:lang w:val="en-US"/>
        </w:rPr>
        <w:t xml:space="preserve">identified </w:t>
      </w:r>
      <w:r w:rsidR="00933D2A">
        <w:rPr>
          <w:sz w:val="22"/>
          <w:szCs w:val="22"/>
          <w:lang w:val="en-US"/>
        </w:rPr>
        <w:t xml:space="preserve">CGI and PCI of </w:t>
      </w:r>
      <w:r>
        <w:rPr>
          <w:sz w:val="22"/>
          <w:szCs w:val="22"/>
          <w:lang w:val="en-US"/>
        </w:rPr>
        <w:t xml:space="preserve">cell2. </w:t>
      </w:r>
    </w:p>
    <w:p w14:paraId="0B2F46F8" w14:textId="3ECAC1E8" w:rsidR="008B607D" w:rsidRPr="00CB4201" w:rsidRDefault="008B607D" w:rsidP="003E6EB4">
      <w:pPr>
        <w:rPr>
          <w:sz w:val="22"/>
          <w:szCs w:val="22"/>
          <w:lang w:val="en-US"/>
        </w:rPr>
      </w:pPr>
      <w:r w:rsidRPr="00CB4201">
        <w:rPr>
          <w:sz w:val="22"/>
          <w:szCs w:val="22"/>
          <w:lang w:val="en-US"/>
        </w:rPr>
        <w:t xml:space="preserve">Therefore, the RAN4 handover delay </w:t>
      </w:r>
      <w:r w:rsidR="00BF5388">
        <w:rPr>
          <w:sz w:val="22"/>
          <w:szCs w:val="22"/>
          <w:lang w:val="en-US"/>
        </w:rPr>
        <w:t xml:space="preserve">and CGI identification delay </w:t>
      </w:r>
      <w:r w:rsidRPr="00CB4201">
        <w:rPr>
          <w:sz w:val="22"/>
          <w:szCs w:val="22"/>
          <w:lang w:val="en-US"/>
        </w:rPr>
        <w:t xml:space="preserve">requirements are </w:t>
      </w:r>
      <w:r w:rsidR="00D16834" w:rsidRPr="00CB4201">
        <w:rPr>
          <w:sz w:val="22"/>
          <w:szCs w:val="22"/>
          <w:lang w:val="en-US"/>
        </w:rPr>
        <w:t>fundamentally independent of the delay or processing in the</w:t>
      </w:r>
      <w:r w:rsidR="00E26C86" w:rsidRPr="00CB4201">
        <w:rPr>
          <w:sz w:val="22"/>
          <w:szCs w:val="22"/>
          <w:lang w:val="en-US"/>
        </w:rPr>
        <w:t xml:space="preserve"> backhaul network. Since the details of the </w:t>
      </w:r>
      <w:proofErr w:type="spellStart"/>
      <w:r w:rsidR="00E26C86" w:rsidRPr="00CB4201">
        <w:rPr>
          <w:sz w:val="22"/>
          <w:szCs w:val="22"/>
          <w:lang w:val="en-US"/>
        </w:rPr>
        <w:t>backaul</w:t>
      </w:r>
      <w:proofErr w:type="spellEnd"/>
      <w:r w:rsidR="00E26C86" w:rsidRPr="00CB4201">
        <w:rPr>
          <w:sz w:val="22"/>
          <w:szCs w:val="22"/>
          <w:lang w:val="en-US"/>
        </w:rPr>
        <w:t xml:space="preserve"> signaling is not considered in the HO </w:t>
      </w:r>
      <w:r w:rsidR="00BF5388">
        <w:rPr>
          <w:sz w:val="22"/>
          <w:szCs w:val="22"/>
          <w:lang w:val="en-US"/>
        </w:rPr>
        <w:t xml:space="preserve">or CGI </w:t>
      </w:r>
      <w:r w:rsidR="00E26C86" w:rsidRPr="00CB4201">
        <w:rPr>
          <w:sz w:val="22"/>
          <w:szCs w:val="22"/>
          <w:lang w:val="en-US"/>
        </w:rPr>
        <w:t xml:space="preserve">delay requirements, </w:t>
      </w:r>
      <w:r w:rsidR="002D2C6D" w:rsidRPr="00CB4201">
        <w:rPr>
          <w:sz w:val="22"/>
          <w:szCs w:val="22"/>
          <w:lang w:val="en-US"/>
        </w:rPr>
        <w:t xml:space="preserve">which </w:t>
      </w:r>
      <w:r w:rsidR="00E26C86" w:rsidRPr="00CB4201">
        <w:rPr>
          <w:sz w:val="22"/>
          <w:szCs w:val="22"/>
          <w:lang w:val="en-US"/>
        </w:rPr>
        <w:t xml:space="preserve">are therefore </w:t>
      </w:r>
      <w:r w:rsidR="002D2C6D" w:rsidRPr="00CB4201">
        <w:rPr>
          <w:sz w:val="22"/>
          <w:szCs w:val="22"/>
          <w:lang w:val="en-US"/>
        </w:rPr>
        <w:t>not directly impacted by the backhaul architecture.</w:t>
      </w:r>
    </w:p>
    <w:p w14:paraId="2977AD08" w14:textId="657D8C0A" w:rsidR="002D2C6D" w:rsidRDefault="002D2C6D" w:rsidP="003E6EB4">
      <w:pPr>
        <w:rPr>
          <w:sz w:val="22"/>
          <w:szCs w:val="22"/>
          <w:lang w:val="en-US"/>
        </w:rPr>
      </w:pPr>
      <w:r w:rsidRPr="00CB4201">
        <w:rPr>
          <w:sz w:val="22"/>
          <w:szCs w:val="22"/>
          <w:lang w:val="en-US"/>
        </w:rPr>
        <w:t xml:space="preserve">It should also be noted that </w:t>
      </w:r>
      <w:r w:rsidR="00757A17" w:rsidRPr="00CB4201">
        <w:rPr>
          <w:sz w:val="22"/>
          <w:szCs w:val="22"/>
          <w:lang w:val="en-US"/>
        </w:rPr>
        <w:t xml:space="preserve">the RAN4 handover delay </w:t>
      </w:r>
      <w:r w:rsidR="0045460F">
        <w:rPr>
          <w:sz w:val="22"/>
          <w:szCs w:val="22"/>
          <w:lang w:val="en-US"/>
        </w:rPr>
        <w:t xml:space="preserve">and CGI identification delay requirements </w:t>
      </w:r>
      <w:r w:rsidR="00757A17" w:rsidRPr="00CB4201">
        <w:rPr>
          <w:sz w:val="22"/>
          <w:szCs w:val="22"/>
          <w:lang w:val="en-US"/>
        </w:rPr>
        <w:t xml:space="preserve">are independent of whether the UE is served by a legacy </w:t>
      </w:r>
      <w:proofErr w:type="spellStart"/>
      <w:r w:rsidR="00757A17" w:rsidRPr="00CB4201">
        <w:rPr>
          <w:sz w:val="22"/>
          <w:szCs w:val="22"/>
          <w:lang w:val="en-US"/>
        </w:rPr>
        <w:t>gNB</w:t>
      </w:r>
      <w:proofErr w:type="spellEnd"/>
      <w:r w:rsidR="00757A17" w:rsidRPr="00CB4201">
        <w:rPr>
          <w:sz w:val="22"/>
          <w:szCs w:val="22"/>
          <w:lang w:val="en-US"/>
        </w:rPr>
        <w:t xml:space="preserve"> or by a DU within IAB node. </w:t>
      </w:r>
    </w:p>
    <w:p w14:paraId="67600A77" w14:textId="29D48FB6" w:rsidR="00A16D7D" w:rsidRDefault="00CB4201" w:rsidP="00A16D7D">
      <w:pPr>
        <w:rPr>
          <w:sz w:val="22"/>
          <w:szCs w:val="22"/>
          <w:lang w:val="en-US"/>
        </w:rPr>
      </w:pPr>
      <w:r w:rsidRPr="00CB4201">
        <w:rPr>
          <w:sz w:val="22"/>
          <w:szCs w:val="22"/>
        </w:rPr>
        <w:t>RAN4 do</w:t>
      </w:r>
      <w:r w:rsidR="008E673C">
        <w:rPr>
          <w:sz w:val="22"/>
          <w:szCs w:val="22"/>
        </w:rPr>
        <w:t>es</w:t>
      </w:r>
      <w:r w:rsidRPr="00CB4201">
        <w:rPr>
          <w:sz w:val="22"/>
          <w:szCs w:val="22"/>
        </w:rPr>
        <w:t xml:space="preserve"> not </w:t>
      </w:r>
      <w:proofErr w:type="spellStart"/>
      <w:r w:rsidRPr="00CB4201">
        <w:rPr>
          <w:sz w:val="22"/>
          <w:szCs w:val="22"/>
        </w:rPr>
        <w:t>forsee</w:t>
      </w:r>
      <w:proofErr w:type="spellEnd"/>
      <w:r w:rsidRPr="00CB4201">
        <w:rPr>
          <w:sz w:val="22"/>
          <w:szCs w:val="22"/>
        </w:rPr>
        <w:t xml:space="preserve"> any impact of alternative # 1 on </w:t>
      </w:r>
      <w:r>
        <w:rPr>
          <w:sz w:val="22"/>
          <w:szCs w:val="22"/>
        </w:rPr>
        <w:t xml:space="preserve">any </w:t>
      </w:r>
      <w:r w:rsidRPr="00CB4201">
        <w:rPr>
          <w:sz w:val="22"/>
          <w:szCs w:val="22"/>
          <w:lang w:val="en-US"/>
        </w:rPr>
        <w:t xml:space="preserve">RAN4 handover delay </w:t>
      </w:r>
      <w:r w:rsidR="00BF5388">
        <w:rPr>
          <w:sz w:val="22"/>
          <w:szCs w:val="22"/>
          <w:lang w:val="en-US"/>
        </w:rPr>
        <w:t xml:space="preserve">or CGI identification delay </w:t>
      </w:r>
      <w:r w:rsidRPr="00CB4201">
        <w:rPr>
          <w:sz w:val="22"/>
          <w:szCs w:val="22"/>
          <w:lang w:val="en-US"/>
        </w:rPr>
        <w:t>requirement</w:t>
      </w:r>
      <w:r w:rsidR="00E43E98">
        <w:rPr>
          <w:sz w:val="22"/>
          <w:szCs w:val="22"/>
          <w:lang w:val="en-US"/>
        </w:rPr>
        <w:t xml:space="preserve"> defined in TS 38.133.</w:t>
      </w:r>
    </w:p>
    <w:p w14:paraId="1D1F12E2" w14:textId="3DEFA39D" w:rsidR="00E43E98" w:rsidRDefault="00E43E98" w:rsidP="00A16D7D">
      <w:pPr>
        <w:rPr>
          <w:sz w:val="22"/>
          <w:szCs w:val="22"/>
          <w:lang w:val="en-US"/>
        </w:rPr>
      </w:pPr>
      <w:r>
        <w:rPr>
          <w:sz w:val="22"/>
          <w:szCs w:val="22"/>
          <w:lang w:val="en-US"/>
        </w:rPr>
        <w:t>On alternative # 2, RAN4 has following responses:</w:t>
      </w:r>
    </w:p>
    <w:p w14:paraId="0BF01E2C" w14:textId="18C78644" w:rsidR="00E43E98" w:rsidRDefault="00E43E98" w:rsidP="00E43E98">
      <w:pPr>
        <w:numPr>
          <w:ilvl w:val="0"/>
          <w:numId w:val="31"/>
        </w:numPr>
        <w:overflowPunct w:val="0"/>
        <w:autoSpaceDE w:val="0"/>
        <w:autoSpaceDN w:val="0"/>
        <w:adjustRightInd w:val="0"/>
        <w:spacing w:after="0" w:line="259" w:lineRule="auto"/>
        <w:ind w:left="357" w:hanging="357"/>
        <w:textAlignment w:val="baseline"/>
        <w:rPr>
          <w:b/>
          <w:i/>
          <w:iCs/>
          <w:sz w:val="22"/>
          <w:szCs w:val="22"/>
          <w:lang w:val="en-US" w:eastAsia="zh-CN"/>
        </w:rPr>
      </w:pPr>
      <w:r w:rsidRPr="00B97728">
        <w:rPr>
          <w:b/>
          <w:i/>
          <w:iCs/>
          <w:sz w:val="22"/>
          <w:szCs w:val="22"/>
          <w:lang w:val="en-US" w:eastAsia="zh-CN"/>
        </w:rPr>
        <w:t>Q1: Whether the current specification enables a RRC CONNECTED UE remains connected, while observing the change of NCGI, and no change to the PCI?</w:t>
      </w:r>
    </w:p>
    <w:p w14:paraId="3976994C" w14:textId="78F2073A" w:rsidR="00E43E98" w:rsidRPr="00B97728" w:rsidRDefault="00E43E98" w:rsidP="00E43E98">
      <w:pPr>
        <w:numPr>
          <w:ilvl w:val="0"/>
          <w:numId w:val="31"/>
        </w:numPr>
        <w:overflowPunct w:val="0"/>
        <w:autoSpaceDE w:val="0"/>
        <w:autoSpaceDN w:val="0"/>
        <w:adjustRightInd w:val="0"/>
        <w:spacing w:before="120" w:after="0" w:line="259" w:lineRule="auto"/>
        <w:ind w:left="357" w:hanging="357"/>
        <w:textAlignment w:val="baseline"/>
        <w:rPr>
          <w:bCs/>
          <w:i/>
          <w:iCs/>
          <w:sz w:val="22"/>
          <w:szCs w:val="22"/>
          <w:lang w:val="en-US" w:eastAsia="zh-CN"/>
        </w:rPr>
      </w:pPr>
      <w:r w:rsidRPr="00E43E98">
        <w:rPr>
          <w:bCs/>
          <w:i/>
          <w:iCs/>
          <w:sz w:val="22"/>
          <w:szCs w:val="22"/>
          <w:lang w:val="en-US" w:eastAsia="zh-CN"/>
        </w:rPr>
        <w:t>[RAN4 Response]</w:t>
      </w:r>
      <w:r>
        <w:rPr>
          <w:bCs/>
          <w:i/>
          <w:iCs/>
          <w:sz w:val="22"/>
          <w:szCs w:val="22"/>
          <w:lang w:val="en-US" w:eastAsia="zh-CN"/>
        </w:rPr>
        <w:t xml:space="preserve">: </w:t>
      </w:r>
      <w:r w:rsidR="003E1244">
        <w:rPr>
          <w:bCs/>
          <w:i/>
          <w:iCs/>
          <w:sz w:val="22"/>
          <w:szCs w:val="22"/>
          <w:lang w:val="en-US" w:eastAsia="zh-CN"/>
        </w:rPr>
        <w:t xml:space="preserve">No RAN4 requirement is impacted </w:t>
      </w:r>
      <w:r w:rsidR="00557070">
        <w:rPr>
          <w:bCs/>
          <w:i/>
          <w:iCs/>
          <w:sz w:val="22"/>
          <w:szCs w:val="22"/>
          <w:lang w:val="en-US" w:eastAsia="zh-CN"/>
        </w:rPr>
        <w:t xml:space="preserve">if NCGI changes while PCI remains unchanged. However, during NCGI acquisition time </w:t>
      </w:r>
      <w:r w:rsidR="00A719E9">
        <w:rPr>
          <w:bCs/>
          <w:i/>
          <w:iCs/>
          <w:sz w:val="22"/>
          <w:szCs w:val="22"/>
          <w:lang w:val="en-US" w:eastAsia="zh-CN"/>
        </w:rPr>
        <w:t xml:space="preserve">if the NCGI changes then the UE may not meet NCGI </w:t>
      </w:r>
      <w:proofErr w:type="spellStart"/>
      <w:r w:rsidR="00A719E9">
        <w:rPr>
          <w:bCs/>
          <w:i/>
          <w:iCs/>
          <w:sz w:val="22"/>
          <w:szCs w:val="22"/>
          <w:lang w:val="en-US" w:eastAsia="zh-CN"/>
        </w:rPr>
        <w:t>acquisiton</w:t>
      </w:r>
      <w:proofErr w:type="spellEnd"/>
      <w:r w:rsidR="00A719E9">
        <w:rPr>
          <w:bCs/>
          <w:i/>
          <w:iCs/>
          <w:sz w:val="22"/>
          <w:szCs w:val="22"/>
          <w:lang w:val="en-US" w:eastAsia="zh-CN"/>
        </w:rPr>
        <w:t xml:space="preserve"> delay requirements defined in </w:t>
      </w:r>
      <w:r w:rsidR="00D4520E">
        <w:rPr>
          <w:bCs/>
          <w:i/>
          <w:iCs/>
          <w:sz w:val="22"/>
          <w:szCs w:val="22"/>
          <w:lang w:val="en-US" w:eastAsia="zh-CN"/>
        </w:rPr>
        <w:t xml:space="preserve">clause 9.11, </w:t>
      </w:r>
      <w:r w:rsidR="00A719E9">
        <w:rPr>
          <w:bCs/>
          <w:i/>
          <w:iCs/>
          <w:sz w:val="22"/>
          <w:szCs w:val="22"/>
          <w:lang w:val="en-US" w:eastAsia="zh-CN"/>
        </w:rPr>
        <w:t>TS 38.133</w:t>
      </w:r>
      <w:r w:rsidR="00BF5388">
        <w:rPr>
          <w:bCs/>
          <w:i/>
          <w:iCs/>
          <w:sz w:val="22"/>
          <w:szCs w:val="22"/>
          <w:lang w:val="en-US" w:eastAsia="zh-CN"/>
        </w:rPr>
        <w:t>.</w:t>
      </w:r>
    </w:p>
    <w:p w14:paraId="15C241A6" w14:textId="780C457C" w:rsidR="00E43E98" w:rsidRDefault="00E43E98" w:rsidP="00E43E98">
      <w:pPr>
        <w:numPr>
          <w:ilvl w:val="0"/>
          <w:numId w:val="31"/>
        </w:numPr>
        <w:overflowPunct w:val="0"/>
        <w:autoSpaceDE w:val="0"/>
        <w:autoSpaceDN w:val="0"/>
        <w:adjustRightInd w:val="0"/>
        <w:spacing w:before="120" w:after="0" w:line="259" w:lineRule="auto"/>
        <w:ind w:left="357" w:hanging="357"/>
        <w:textAlignment w:val="baseline"/>
        <w:rPr>
          <w:b/>
          <w:i/>
          <w:iCs/>
          <w:sz w:val="22"/>
          <w:szCs w:val="22"/>
          <w:lang w:val="en-US" w:eastAsia="zh-CN"/>
        </w:rPr>
      </w:pPr>
      <w:r w:rsidRPr="00B97728">
        <w:rPr>
          <w:b/>
          <w:i/>
          <w:iCs/>
          <w:sz w:val="22"/>
          <w:szCs w:val="22"/>
          <w:lang w:val="en-US" w:eastAsia="zh-CN"/>
        </w:rPr>
        <w:t>Q2: is it possible to use same PCI for cell1 and cell2, and support the HO from cell1 to cell2 without new impact to the UE (</w:t>
      </w:r>
      <w:proofErr w:type="gramStart"/>
      <w:r w:rsidRPr="00B97728">
        <w:rPr>
          <w:b/>
          <w:i/>
          <w:iCs/>
          <w:sz w:val="22"/>
          <w:szCs w:val="22"/>
          <w:lang w:val="en-US" w:eastAsia="zh-CN"/>
        </w:rPr>
        <w:t>e.g.</w:t>
      </w:r>
      <w:proofErr w:type="gramEnd"/>
      <w:r w:rsidRPr="00B97728">
        <w:rPr>
          <w:b/>
          <w:i/>
          <w:iCs/>
          <w:sz w:val="22"/>
          <w:szCs w:val="22"/>
          <w:lang w:val="en-US" w:eastAsia="zh-CN"/>
        </w:rPr>
        <w:t xml:space="preserve"> a legacy UE)?</w:t>
      </w:r>
    </w:p>
    <w:p w14:paraId="09D2AB59" w14:textId="7B5E6C09" w:rsidR="00BF5388" w:rsidRPr="00B97728" w:rsidRDefault="00BF5388" w:rsidP="00D56F19">
      <w:pPr>
        <w:numPr>
          <w:ilvl w:val="0"/>
          <w:numId w:val="31"/>
        </w:numPr>
        <w:overflowPunct w:val="0"/>
        <w:autoSpaceDE w:val="0"/>
        <w:autoSpaceDN w:val="0"/>
        <w:adjustRightInd w:val="0"/>
        <w:spacing w:before="120" w:after="0" w:line="259" w:lineRule="auto"/>
        <w:ind w:left="357" w:hanging="357"/>
        <w:textAlignment w:val="baseline"/>
        <w:rPr>
          <w:bCs/>
          <w:i/>
          <w:iCs/>
          <w:sz w:val="22"/>
          <w:szCs w:val="22"/>
          <w:lang w:val="en-US" w:eastAsia="zh-CN"/>
        </w:rPr>
      </w:pPr>
      <w:r w:rsidRPr="00E43E98">
        <w:rPr>
          <w:bCs/>
          <w:i/>
          <w:iCs/>
          <w:sz w:val="22"/>
          <w:szCs w:val="22"/>
          <w:lang w:val="en-US" w:eastAsia="zh-CN"/>
        </w:rPr>
        <w:t>[RAN4 Response]</w:t>
      </w:r>
      <w:r>
        <w:rPr>
          <w:bCs/>
          <w:i/>
          <w:iCs/>
          <w:sz w:val="22"/>
          <w:szCs w:val="22"/>
          <w:lang w:val="en-US" w:eastAsia="zh-CN"/>
        </w:rPr>
        <w:t xml:space="preserve">: </w:t>
      </w:r>
      <w:r w:rsidR="00D56F19">
        <w:rPr>
          <w:bCs/>
          <w:i/>
          <w:iCs/>
          <w:sz w:val="22"/>
          <w:szCs w:val="22"/>
          <w:lang w:val="en-US" w:eastAsia="zh-CN"/>
        </w:rPr>
        <w:t>T</w:t>
      </w:r>
      <w:r w:rsidR="00E645D9">
        <w:rPr>
          <w:bCs/>
          <w:i/>
          <w:iCs/>
          <w:sz w:val="22"/>
          <w:szCs w:val="22"/>
          <w:lang w:val="en-US" w:eastAsia="zh-CN"/>
        </w:rPr>
        <w:t xml:space="preserve">he UE </w:t>
      </w:r>
      <w:r w:rsidR="00D56F19">
        <w:rPr>
          <w:bCs/>
          <w:i/>
          <w:iCs/>
          <w:sz w:val="22"/>
          <w:szCs w:val="22"/>
          <w:lang w:val="en-US" w:eastAsia="zh-CN"/>
        </w:rPr>
        <w:t xml:space="preserve">is not expected to </w:t>
      </w:r>
      <w:r w:rsidR="00E645D9">
        <w:rPr>
          <w:bCs/>
          <w:i/>
          <w:iCs/>
          <w:sz w:val="22"/>
          <w:szCs w:val="22"/>
          <w:lang w:val="en-US" w:eastAsia="zh-CN"/>
        </w:rPr>
        <w:t xml:space="preserve">meet the </w:t>
      </w:r>
      <w:r w:rsidR="00C77CDF">
        <w:rPr>
          <w:bCs/>
          <w:i/>
          <w:iCs/>
          <w:sz w:val="22"/>
          <w:szCs w:val="22"/>
          <w:lang w:val="en-US" w:eastAsia="zh-CN"/>
        </w:rPr>
        <w:t>intra-frequency handover requirements if the PCIs of cell1 and cell2 are the same.</w:t>
      </w:r>
      <w:r w:rsidR="00D56F19">
        <w:rPr>
          <w:bCs/>
          <w:i/>
          <w:iCs/>
          <w:sz w:val="22"/>
          <w:szCs w:val="22"/>
          <w:lang w:val="en-US" w:eastAsia="zh-CN"/>
        </w:rPr>
        <w:t xml:space="preserve"> </w:t>
      </w:r>
      <w:r w:rsidR="00D56F19" w:rsidRPr="00D56F19">
        <w:rPr>
          <w:bCs/>
          <w:i/>
          <w:iCs/>
          <w:sz w:val="22"/>
          <w:szCs w:val="22"/>
          <w:lang w:val="en-US" w:eastAsia="zh-CN"/>
        </w:rPr>
        <w:t>There should not be any impact on inter-frequency handover requirements even if the PCIs of cell1 and cell2 are the same.</w:t>
      </w:r>
    </w:p>
    <w:p w14:paraId="585D319A" w14:textId="77777777" w:rsidR="00E43E98" w:rsidRPr="00B97728" w:rsidRDefault="00E43E98" w:rsidP="00E43E98">
      <w:pPr>
        <w:numPr>
          <w:ilvl w:val="0"/>
          <w:numId w:val="31"/>
        </w:numPr>
        <w:overflowPunct w:val="0"/>
        <w:autoSpaceDE w:val="0"/>
        <w:autoSpaceDN w:val="0"/>
        <w:adjustRightInd w:val="0"/>
        <w:snapToGrid w:val="0"/>
        <w:spacing w:before="120" w:after="0" w:line="259" w:lineRule="auto"/>
        <w:ind w:left="357" w:hanging="357"/>
        <w:textAlignment w:val="baseline"/>
        <w:rPr>
          <w:b/>
          <w:i/>
          <w:iCs/>
          <w:sz w:val="22"/>
          <w:szCs w:val="22"/>
          <w:lang w:val="en-US" w:eastAsia="zh-CN"/>
        </w:rPr>
      </w:pPr>
      <w:r w:rsidRPr="00B97728">
        <w:rPr>
          <w:b/>
          <w:i/>
          <w:iCs/>
          <w:sz w:val="22"/>
          <w:szCs w:val="22"/>
          <w:lang w:val="en-US" w:eastAsia="zh-CN"/>
        </w:rPr>
        <w:t>Q3: when cell1 and cell2 use different PCI/NCGI, is it possible to use one set of shared resource, without new impact to the UE?</w:t>
      </w:r>
    </w:p>
    <w:p w14:paraId="4470A718" w14:textId="2EA96B70" w:rsidR="00B56FB8" w:rsidRPr="0069370B" w:rsidRDefault="007917D2" w:rsidP="0069370B">
      <w:pPr>
        <w:numPr>
          <w:ilvl w:val="0"/>
          <w:numId w:val="31"/>
        </w:numPr>
        <w:overflowPunct w:val="0"/>
        <w:autoSpaceDE w:val="0"/>
        <w:autoSpaceDN w:val="0"/>
        <w:adjustRightInd w:val="0"/>
        <w:spacing w:before="120" w:after="0" w:line="259" w:lineRule="auto"/>
        <w:ind w:left="357" w:hanging="357"/>
        <w:textAlignment w:val="baseline"/>
        <w:rPr>
          <w:bCs/>
          <w:i/>
          <w:iCs/>
          <w:sz w:val="22"/>
          <w:szCs w:val="22"/>
          <w:lang w:val="en-US" w:eastAsia="zh-CN"/>
        </w:rPr>
      </w:pPr>
      <w:r w:rsidRPr="00E43E98">
        <w:rPr>
          <w:bCs/>
          <w:i/>
          <w:iCs/>
          <w:sz w:val="22"/>
          <w:szCs w:val="22"/>
          <w:lang w:val="en-US" w:eastAsia="zh-CN"/>
        </w:rPr>
        <w:t>[RAN4 Response]</w:t>
      </w:r>
      <w:r>
        <w:rPr>
          <w:bCs/>
          <w:i/>
          <w:iCs/>
          <w:sz w:val="22"/>
          <w:szCs w:val="22"/>
          <w:lang w:val="en-US" w:eastAsia="zh-CN"/>
        </w:rPr>
        <w:t xml:space="preserve">: </w:t>
      </w:r>
      <w:r w:rsidR="00D56F19">
        <w:rPr>
          <w:bCs/>
          <w:i/>
          <w:iCs/>
          <w:sz w:val="22"/>
          <w:szCs w:val="22"/>
          <w:lang w:val="en-US" w:eastAsia="zh-CN"/>
        </w:rPr>
        <w:t xml:space="preserve">The UE </w:t>
      </w:r>
      <w:r w:rsidR="00C1176E">
        <w:rPr>
          <w:bCs/>
          <w:i/>
          <w:iCs/>
          <w:sz w:val="22"/>
          <w:szCs w:val="22"/>
          <w:lang w:val="en-US" w:eastAsia="zh-CN"/>
        </w:rPr>
        <w:t>is not expected</w:t>
      </w:r>
      <w:r w:rsidR="00D56F19">
        <w:rPr>
          <w:bCs/>
          <w:i/>
          <w:iCs/>
          <w:sz w:val="22"/>
          <w:szCs w:val="22"/>
          <w:lang w:val="en-US" w:eastAsia="zh-CN"/>
        </w:rPr>
        <w:t xml:space="preserve"> to meet handover requirements if </w:t>
      </w:r>
      <w:r w:rsidR="00890D1B">
        <w:rPr>
          <w:bCs/>
          <w:i/>
          <w:iCs/>
          <w:sz w:val="22"/>
          <w:szCs w:val="22"/>
          <w:lang w:val="en-US" w:eastAsia="zh-CN"/>
        </w:rPr>
        <w:t xml:space="preserve">the same resources are used in cell1 and cell2 even if </w:t>
      </w:r>
      <w:r w:rsidR="0069370B">
        <w:rPr>
          <w:bCs/>
          <w:i/>
          <w:iCs/>
          <w:sz w:val="22"/>
          <w:szCs w:val="22"/>
          <w:lang w:val="en-US" w:eastAsia="zh-CN"/>
        </w:rPr>
        <w:t xml:space="preserve">they use different PCI/NCGI. </w:t>
      </w:r>
    </w:p>
    <w:p w14:paraId="45C1AC25" w14:textId="03A9FAC4" w:rsidR="00CC6F36" w:rsidRPr="001D2FBF"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1D2FBF">
        <w:rPr>
          <w:sz w:val="36"/>
        </w:rPr>
        <w:t>Summary</w:t>
      </w:r>
    </w:p>
    <w:p w14:paraId="23F132DC" w14:textId="6FAD2880" w:rsidR="001C1D0D" w:rsidRDefault="00D53884" w:rsidP="003C4CA3">
      <w:pPr>
        <w:overflowPunct w:val="0"/>
        <w:autoSpaceDE w:val="0"/>
        <w:autoSpaceDN w:val="0"/>
        <w:adjustRightInd w:val="0"/>
        <w:spacing w:after="0"/>
        <w:textAlignment w:val="baseline"/>
        <w:rPr>
          <w:sz w:val="22"/>
          <w:szCs w:val="22"/>
        </w:rPr>
      </w:pPr>
      <w:r>
        <w:rPr>
          <w:sz w:val="22"/>
          <w:szCs w:val="22"/>
          <w:lang w:val="en-US"/>
        </w:rPr>
        <w:t>The following are the observations and proposals based on the analysis provided in this paper</w:t>
      </w:r>
      <w:r w:rsidR="001C1D0D">
        <w:rPr>
          <w:sz w:val="22"/>
          <w:szCs w:val="22"/>
        </w:rPr>
        <w:t>:</w:t>
      </w:r>
    </w:p>
    <w:p w14:paraId="4036EF1A" w14:textId="0EA734F0" w:rsidR="00970431" w:rsidRPr="00B5701F" w:rsidRDefault="00D53884" w:rsidP="00B5701F">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B5701F">
        <w:rPr>
          <w:rFonts w:ascii="Times New Roman" w:hAnsi="Times New Roman"/>
          <w:b/>
          <w:bCs/>
          <w:sz w:val="20"/>
        </w:rPr>
        <w:t>Observation 1</w:t>
      </w:r>
      <w:r w:rsidRPr="00B5701F">
        <w:rPr>
          <w:rFonts w:ascii="Times New Roman" w:hAnsi="Times New Roman"/>
          <w:sz w:val="20"/>
        </w:rPr>
        <w:t xml:space="preserve">: </w:t>
      </w:r>
      <w:r w:rsidR="00970431" w:rsidRPr="00B5701F">
        <w:rPr>
          <w:rFonts w:ascii="Times New Roman" w:hAnsi="Times New Roman"/>
          <w:sz w:val="20"/>
        </w:rPr>
        <w:t xml:space="preserve">HO requirements within NR are defined in terms of handover delay on “physical layer” level. The HO delay comprises of the “time period” from the moment the UE receives the RRC command for HO from the serving cell (cell1) until the moment the UE sends PRACH to the target cell (cell2). </w:t>
      </w:r>
    </w:p>
    <w:p w14:paraId="167F9CB4" w14:textId="6039015F" w:rsidR="00970431" w:rsidRPr="00B5701F" w:rsidRDefault="00970431" w:rsidP="00B5701F">
      <w:pPr>
        <w:pStyle w:val="ListParagraph"/>
        <w:numPr>
          <w:ilvl w:val="0"/>
          <w:numId w:val="25"/>
        </w:numPr>
        <w:spacing w:before="120"/>
        <w:contextualSpacing w:val="0"/>
        <w:rPr>
          <w:rFonts w:ascii="Times New Roman" w:hAnsi="Times New Roman"/>
          <w:sz w:val="20"/>
        </w:rPr>
      </w:pPr>
      <w:r w:rsidRPr="00B5701F">
        <w:rPr>
          <w:rFonts w:ascii="Times New Roman" w:hAnsi="Times New Roman"/>
          <w:b/>
          <w:bCs/>
          <w:sz w:val="20"/>
        </w:rPr>
        <w:t>Observation 2</w:t>
      </w:r>
      <w:r w:rsidRPr="00B5701F">
        <w:rPr>
          <w:rFonts w:ascii="Times New Roman" w:hAnsi="Times New Roman"/>
          <w:sz w:val="20"/>
        </w:rPr>
        <w:t xml:space="preserve">: CGI identification requirements within NR are defined in terms of CGI identification delay on “physical layer” level. The CGI identification delay comprises of the “time period” from the moment the UE receives the RRC command from cell1 to acquire the CGI until the moment the UE sends the measurement report to cell. The measurement report includes the identified CGI and PCI of cell2. </w:t>
      </w:r>
    </w:p>
    <w:p w14:paraId="5E95C98B" w14:textId="77777777" w:rsidR="00970431" w:rsidRPr="00B5701F" w:rsidRDefault="00970431" w:rsidP="00B5701F">
      <w:pPr>
        <w:pStyle w:val="ListParagraph"/>
        <w:numPr>
          <w:ilvl w:val="0"/>
          <w:numId w:val="25"/>
        </w:numPr>
        <w:spacing w:before="120"/>
        <w:contextualSpacing w:val="0"/>
        <w:rPr>
          <w:rFonts w:ascii="Times New Roman" w:hAnsi="Times New Roman"/>
          <w:sz w:val="20"/>
        </w:rPr>
      </w:pPr>
      <w:r w:rsidRPr="00B5701F">
        <w:rPr>
          <w:rFonts w:ascii="Times New Roman" w:hAnsi="Times New Roman"/>
          <w:b/>
          <w:bCs/>
          <w:sz w:val="20"/>
        </w:rPr>
        <w:t>Observation 3</w:t>
      </w:r>
      <w:r w:rsidRPr="00B5701F">
        <w:rPr>
          <w:rFonts w:ascii="Times New Roman" w:hAnsi="Times New Roman"/>
          <w:sz w:val="20"/>
        </w:rPr>
        <w:t xml:space="preserve">: RAN4 handover delay and CGI identification delay requirements are fundamentally independent of the delay or processing in the backhaul network. </w:t>
      </w:r>
    </w:p>
    <w:p w14:paraId="38AB5A37" w14:textId="3B6908D5" w:rsidR="00970431" w:rsidRPr="00B5701F" w:rsidRDefault="00970431" w:rsidP="00B5701F">
      <w:pPr>
        <w:pStyle w:val="ListParagraph"/>
        <w:numPr>
          <w:ilvl w:val="0"/>
          <w:numId w:val="25"/>
        </w:numPr>
        <w:spacing w:before="120"/>
        <w:contextualSpacing w:val="0"/>
        <w:rPr>
          <w:rFonts w:ascii="Times New Roman" w:hAnsi="Times New Roman"/>
          <w:sz w:val="20"/>
        </w:rPr>
      </w:pPr>
      <w:r w:rsidRPr="00B5701F">
        <w:rPr>
          <w:rFonts w:ascii="Times New Roman" w:hAnsi="Times New Roman"/>
          <w:b/>
          <w:bCs/>
          <w:sz w:val="20"/>
        </w:rPr>
        <w:t>Observation 4</w:t>
      </w:r>
      <w:r w:rsidRPr="00B5701F">
        <w:rPr>
          <w:rFonts w:ascii="Times New Roman" w:hAnsi="Times New Roman"/>
          <w:sz w:val="20"/>
        </w:rPr>
        <w:t xml:space="preserve">: RAN4 HO </w:t>
      </w:r>
      <w:r w:rsidR="00767EE4" w:rsidRPr="00B5701F">
        <w:rPr>
          <w:rFonts w:ascii="Times New Roman" w:hAnsi="Times New Roman"/>
          <w:sz w:val="20"/>
        </w:rPr>
        <w:t>and</w:t>
      </w:r>
      <w:r w:rsidRPr="00B5701F">
        <w:rPr>
          <w:rFonts w:ascii="Times New Roman" w:hAnsi="Times New Roman"/>
          <w:sz w:val="20"/>
        </w:rPr>
        <w:t xml:space="preserve"> CGI delay requirements are therefore not directly impacted by the backhaul architecture.</w:t>
      </w:r>
    </w:p>
    <w:p w14:paraId="5F2597A1" w14:textId="3BDC4254" w:rsidR="00970431" w:rsidRPr="00B5701F" w:rsidRDefault="00767EE4" w:rsidP="00B5701F">
      <w:pPr>
        <w:pStyle w:val="ListParagraph"/>
        <w:numPr>
          <w:ilvl w:val="0"/>
          <w:numId w:val="25"/>
        </w:numPr>
        <w:spacing w:before="120"/>
        <w:contextualSpacing w:val="0"/>
        <w:rPr>
          <w:rFonts w:ascii="Times New Roman" w:hAnsi="Times New Roman"/>
          <w:sz w:val="20"/>
        </w:rPr>
      </w:pPr>
      <w:r w:rsidRPr="00B5701F">
        <w:rPr>
          <w:rFonts w:ascii="Times New Roman" w:hAnsi="Times New Roman"/>
          <w:b/>
          <w:bCs/>
          <w:sz w:val="20"/>
        </w:rPr>
        <w:lastRenderedPageBreak/>
        <w:t>Observation 5</w:t>
      </w:r>
      <w:r w:rsidRPr="00B5701F">
        <w:rPr>
          <w:rFonts w:ascii="Times New Roman" w:hAnsi="Times New Roman"/>
          <w:sz w:val="20"/>
        </w:rPr>
        <w:t>: RAN4 HO</w:t>
      </w:r>
      <w:r w:rsidR="00970431" w:rsidRPr="00B5701F">
        <w:rPr>
          <w:rFonts w:ascii="Times New Roman" w:hAnsi="Times New Roman"/>
          <w:sz w:val="20"/>
        </w:rPr>
        <w:t xml:space="preserve"> delay </w:t>
      </w:r>
      <w:r w:rsidRPr="00B5701F">
        <w:rPr>
          <w:rFonts w:ascii="Times New Roman" w:hAnsi="Times New Roman"/>
          <w:sz w:val="20"/>
        </w:rPr>
        <w:t xml:space="preserve">and </w:t>
      </w:r>
      <w:r w:rsidR="00970431" w:rsidRPr="00B5701F">
        <w:rPr>
          <w:rFonts w:ascii="Times New Roman" w:hAnsi="Times New Roman"/>
          <w:sz w:val="20"/>
        </w:rPr>
        <w:t xml:space="preserve">CGI identification delay requirements are independent of whether the UE is served by a legacy </w:t>
      </w:r>
      <w:proofErr w:type="spellStart"/>
      <w:r w:rsidR="00970431" w:rsidRPr="00B5701F">
        <w:rPr>
          <w:rFonts w:ascii="Times New Roman" w:hAnsi="Times New Roman"/>
          <w:sz w:val="20"/>
        </w:rPr>
        <w:t>gNB</w:t>
      </w:r>
      <w:proofErr w:type="spellEnd"/>
      <w:r w:rsidR="00970431" w:rsidRPr="00B5701F">
        <w:rPr>
          <w:rFonts w:ascii="Times New Roman" w:hAnsi="Times New Roman"/>
          <w:sz w:val="20"/>
        </w:rPr>
        <w:t xml:space="preserve"> or by a DU within IAB node. </w:t>
      </w:r>
    </w:p>
    <w:p w14:paraId="2D3E9843" w14:textId="268F88CC" w:rsidR="00767EE4" w:rsidRPr="00B5701F" w:rsidRDefault="004376EF" w:rsidP="00B5701F">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B5701F">
        <w:rPr>
          <w:rFonts w:ascii="Times New Roman" w:hAnsi="Times New Roman"/>
          <w:b/>
          <w:bCs/>
          <w:sz w:val="20"/>
        </w:rPr>
        <w:t>Proposal #</w:t>
      </w:r>
      <w:r w:rsidR="00767EE4" w:rsidRPr="00B5701F">
        <w:rPr>
          <w:rFonts w:ascii="Times New Roman" w:hAnsi="Times New Roman"/>
          <w:b/>
          <w:bCs/>
          <w:sz w:val="20"/>
        </w:rPr>
        <w:t>1</w:t>
      </w:r>
      <w:r w:rsidRPr="00B5701F">
        <w:rPr>
          <w:rFonts w:ascii="Times New Roman" w:hAnsi="Times New Roman"/>
          <w:sz w:val="20"/>
        </w:rPr>
        <w:t>:</w:t>
      </w:r>
      <w:r w:rsidR="00767EE4" w:rsidRPr="00B5701F">
        <w:rPr>
          <w:rFonts w:ascii="Times New Roman" w:hAnsi="Times New Roman"/>
          <w:sz w:val="20"/>
        </w:rPr>
        <w:t xml:space="preserve"> RAN4 does not </w:t>
      </w:r>
      <w:proofErr w:type="spellStart"/>
      <w:r w:rsidR="00767EE4" w:rsidRPr="00B5701F">
        <w:rPr>
          <w:rFonts w:ascii="Times New Roman" w:hAnsi="Times New Roman"/>
          <w:sz w:val="20"/>
        </w:rPr>
        <w:t>forsee</w:t>
      </w:r>
      <w:proofErr w:type="spellEnd"/>
      <w:r w:rsidR="00767EE4" w:rsidRPr="00B5701F">
        <w:rPr>
          <w:rFonts w:ascii="Times New Roman" w:hAnsi="Times New Roman"/>
          <w:sz w:val="20"/>
        </w:rPr>
        <w:t xml:space="preserve"> any impact of alternative # 1 on any RAN4 handover delay or CGI identification delay requirement defined in TS 38.133.</w:t>
      </w:r>
    </w:p>
    <w:p w14:paraId="1AC11E60" w14:textId="1EE8F37A" w:rsidR="00767EE4" w:rsidRPr="00B5701F" w:rsidRDefault="00767EE4" w:rsidP="00B5701F">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B5701F">
        <w:rPr>
          <w:rFonts w:ascii="Times New Roman" w:hAnsi="Times New Roman"/>
          <w:b/>
          <w:bCs/>
          <w:sz w:val="20"/>
        </w:rPr>
        <w:t>Proposal #2</w:t>
      </w:r>
      <w:r w:rsidRPr="00B5701F">
        <w:rPr>
          <w:rFonts w:ascii="Times New Roman" w:hAnsi="Times New Roman"/>
          <w:sz w:val="20"/>
        </w:rPr>
        <w:t xml:space="preserve">: </w:t>
      </w:r>
      <w:r w:rsidRPr="00B5701F">
        <w:rPr>
          <w:rFonts w:ascii="Times New Roman" w:hAnsi="Times New Roman"/>
          <w:b/>
          <w:bCs/>
          <w:sz w:val="20"/>
        </w:rPr>
        <w:t>On alternative # 2</w:t>
      </w:r>
      <w:r w:rsidRPr="00B5701F">
        <w:rPr>
          <w:rFonts w:ascii="Times New Roman" w:hAnsi="Times New Roman"/>
          <w:sz w:val="20"/>
        </w:rPr>
        <w:t>, RAN4 has following responses:</w:t>
      </w:r>
    </w:p>
    <w:p w14:paraId="7DB7172C" w14:textId="77777777" w:rsidR="00767EE4" w:rsidRPr="00B5701F" w:rsidRDefault="00767EE4" w:rsidP="00B5701F">
      <w:pPr>
        <w:numPr>
          <w:ilvl w:val="1"/>
          <w:numId w:val="25"/>
        </w:numPr>
        <w:overflowPunct w:val="0"/>
        <w:autoSpaceDE w:val="0"/>
        <w:autoSpaceDN w:val="0"/>
        <w:adjustRightInd w:val="0"/>
        <w:spacing w:before="60" w:after="0" w:line="259" w:lineRule="auto"/>
        <w:ind w:left="1077" w:hanging="357"/>
        <w:textAlignment w:val="baseline"/>
        <w:rPr>
          <w:b/>
          <w:i/>
          <w:iCs/>
          <w:lang w:val="en-US" w:eastAsia="zh-CN"/>
        </w:rPr>
      </w:pPr>
      <w:r w:rsidRPr="00B97728">
        <w:rPr>
          <w:b/>
          <w:i/>
          <w:iCs/>
          <w:lang w:val="en-US" w:eastAsia="zh-CN"/>
        </w:rPr>
        <w:t>Q1: Whether the current specification enables a RRC CONNECTED UE remains connected, while observing the change of NCGI, and no change to the PCI?</w:t>
      </w:r>
    </w:p>
    <w:p w14:paraId="7400EC11" w14:textId="77777777" w:rsidR="00767EE4" w:rsidRPr="00B97728" w:rsidRDefault="00767EE4" w:rsidP="00B5701F">
      <w:pPr>
        <w:numPr>
          <w:ilvl w:val="1"/>
          <w:numId w:val="25"/>
        </w:numPr>
        <w:overflowPunct w:val="0"/>
        <w:autoSpaceDE w:val="0"/>
        <w:autoSpaceDN w:val="0"/>
        <w:adjustRightInd w:val="0"/>
        <w:spacing w:before="120" w:after="0" w:line="259" w:lineRule="auto"/>
        <w:textAlignment w:val="baseline"/>
        <w:rPr>
          <w:bCs/>
          <w:i/>
          <w:iCs/>
          <w:lang w:val="en-US" w:eastAsia="zh-CN"/>
        </w:rPr>
      </w:pPr>
      <w:r w:rsidRPr="00B5701F">
        <w:rPr>
          <w:bCs/>
          <w:i/>
          <w:iCs/>
          <w:lang w:val="en-US" w:eastAsia="zh-CN"/>
        </w:rPr>
        <w:t xml:space="preserve">[RAN4 Response]: No RAN4 requirement is impacted if NCGI changes while PCI remains unchanged. However, during NCGI acquisition time if the NCGI changes then the UE may not meet NCGI </w:t>
      </w:r>
      <w:proofErr w:type="spellStart"/>
      <w:r w:rsidRPr="00B5701F">
        <w:rPr>
          <w:bCs/>
          <w:i/>
          <w:iCs/>
          <w:lang w:val="en-US" w:eastAsia="zh-CN"/>
        </w:rPr>
        <w:t>acquisiton</w:t>
      </w:r>
      <w:proofErr w:type="spellEnd"/>
      <w:r w:rsidRPr="00B5701F">
        <w:rPr>
          <w:bCs/>
          <w:i/>
          <w:iCs/>
          <w:lang w:val="en-US" w:eastAsia="zh-CN"/>
        </w:rPr>
        <w:t xml:space="preserve"> delay requirements defined in clause 9.11, TS 38.133.</w:t>
      </w:r>
    </w:p>
    <w:p w14:paraId="626D3665" w14:textId="77777777" w:rsidR="00767EE4" w:rsidRPr="00B5701F" w:rsidRDefault="00767EE4" w:rsidP="00B5701F">
      <w:pPr>
        <w:numPr>
          <w:ilvl w:val="1"/>
          <w:numId w:val="25"/>
        </w:numPr>
        <w:overflowPunct w:val="0"/>
        <w:autoSpaceDE w:val="0"/>
        <w:autoSpaceDN w:val="0"/>
        <w:adjustRightInd w:val="0"/>
        <w:spacing w:before="120" w:after="0" w:line="259" w:lineRule="auto"/>
        <w:textAlignment w:val="baseline"/>
        <w:rPr>
          <w:b/>
          <w:i/>
          <w:iCs/>
          <w:lang w:val="en-US" w:eastAsia="zh-CN"/>
        </w:rPr>
      </w:pPr>
      <w:r w:rsidRPr="00B97728">
        <w:rPr>
          <w:b/>
          <w:i/>
          <w:iCs/>
          <w:lang w:val="en-US" w:eastAsia="zh-CN"/>
        </w:rPr>
        <w:t>Q2: is it possible to use same PCI for cell1 and cell2, and support the HO from cell1 to cell2 without new impact to the UE (</w:t>
      </w:r>
      <w:proofErr w:type="gramStart"/>
      <w:r w:rsidRPr="00B97728">
        <w:rPr>
          <w:b/>
          <w:i/>
          <w:iCs/>
          <w:lang w:val="en-US" w:eastAsia="zh-CN"/>
        </w:rPr>
        <w:t>e.g.</w:t>
      </w:r>
      <w:proofErr w:type="gramEnd"/>
      <w:r w:rsidRPr="00B97728">
        <w:rPr>
          <w:b/>
          <w:i/>
          <w:iCs/>
          <w:lang w:val="en-US" w:eastAsia="zh-CN"/>
        </w:rPr>
        <w:t xml:space="preserve"> a legacy UE)?</w:t>
      </w:r>
    </w:p>
    <w:p w14:paraId="12CCA207" w14:textId="77777777" w:rsidR="00767EE4" w:rsidRPr="00B97728" w:rsidRDefault="00767EE4" w:rsidP="00B5701F">
      <w:pPr>
        <w:numPr>
          <w:ilvl w:val="1"/>
          <w:numId w:val="25"/>
        </w:numPr>
        <w:overflowPunct w:val="0"/>
        <w:autoSpaceDE w:val="0"/>
        <w:autoSpaceDN w:val="0"/>
        <w:adjustRightInd w:val="0"/>
        <w:spacing w:before="120" w:after="0" w:line="259" w:lineRule="auto"/>
        <w:textAlignment w:val="baseline"/>
        <w:rPr>
          <w:bCs/>
          <w:i/>
          <w:iCs/>
          <w:lang w:val="en-US" w:eastAsia="zh-CN"/>
        </w:rPr>
      </w:pPr>
      <w:r w:rsidRPr="00B5701F">
        <w:rPr>
          <w:bCs/>
          <w:i/>
          <w:iCs/>
          <w:lang w:val="en-US" w:eastAsia="zh-CN"/>
        </w:rPr>
        <w:t>[RAN4 Response]: The UE is not expected to meet the intra-frequency handover requirements if the PCIs of cell1 and cell2 are the same. There should not be any impact on inter-frequency handover requirements even if the PCIs of cell1 and cell2 are the same.</w:t>
      </w:r>
    </w:p>
    <w:p w14:paraId="4F709825" w14:textId="77777777" w:rsidR="00767EE4" w:rsidRPr="00B97728" w:rsidRDefault="00767EE4" w:rsidP="00B5701F">
      <w:pPr>
        <w:numPr>
          <w:ilvl w:val="1"/>
          <w:numId w:val="25"/>
        </w:numPr>
        <w:overflowPunct w:val="0"/>
        <w:autoSpaceDE w:val="0"/>
        <w:autoSpaceDN w:val="0"/>
        <w:adjustRightInd w:val="0"/>
        <w:snapToGrid w:val="0"/>
        <w:spacing w:before="120" w:after="0" w:line="259" w:lineRule="auto"/>
        <w:textAlignment w:val="baseline"/>
        <w:rPr>
          <w:b/>
          <w:i/>
          <w:iCs/>
          <w:lang w:val="en-US" w:eastAsia="zh-CN"/>
        </w:rPr>
      </w:pPr>
      <w:r w:rsidRPr="00B97728">
        <w:rPr>
          <w:b/>
          <w:i/>
          <w:iCs/>
          <w:lang w:val="en-US" w:eastAsia="zh-CN"/>
        </w:rPr>
        <w:t>Q3: when cell1 and cell2 use different PCI/NCGI, is it possible to use one set of shared resource, without new impact to the UE?</w:t>
      </w:r>
    </w:p>
    <w:p w14:paraId="7A9DF7C5" w14:textId="5ED271A7" w:rsidR="00767EE4" w:rsidRPr="00B5701F" w:rsidRDefault="00767EE4" w:rsidP="00B5701F">
      <w:pPr>
        <w:numPr>
          <w:ilvl w:val="1"/>
          <w:numId w:val="25"/>
        </w:numPr>
        <w:overflowPunct w:val="0"/>
        <w:autoSpaceDE w:val="0"/>
        <w:autoSpaceDN w:val="0"/>
        <w:adjustRightInd w:val="0"/>
        <w:spacing w:before="120" w:after="0" w:line="259" w:lineRule="auto"/>
        <w:textAlignment w:val="baseline"/>
        <w:rPr>
          <w:bCs/>
          <w:i/>
          <w:iCs/>
          <w:lang w:val="en-US" w:eastAsia="zh-CN"/>
        </w:rPr>
      </w:pPr>
      <w:r w:rsidRPr="00B5701F">
        <w:rPr>
          <w:bCs/>
          <w:i/>
          <w:iCs/>
          <w:lang w:val="en-US" w:eastAsia="zh-CN"/>
        </w:rPr>
        <w:t xml:space="preserve">[RAN4 Response]: The UE is not expected to meet handover requirements if the same resources are used in cell1 and cell2 even if they use different PCI/NCGI. </w:t>
      </w:r>
    </w:p>
    <w:p w14:paraId="688EE87D" w14:textId="47EF55BA" w:rsidR="00583E33" w:rsidRPr="00B5701F" w:rsidRDefault="00D53884" w:rsidP="00B5701F">
      <w:pPr>
        <w:spacing w:before="240"/>
      </w:pPr>
      <w:r w:rsidRPr="00B5701F">
        <w:t>Based on the above proposal</w:t>
      </w:r>
      <w:r w:rsidR="00767EE4" w:rsidRPr="00B5701F">
        <w:t>s</w:t>
      </w:r>
      <w:r w:rsidRPr="00B5701F">
        <w:t xml:space="preserve"> </w:t>
      </w:r>
      <w:r w:rsidR="000362FA" w:rsidRPr="00B5701F">
        <w:t># 1</w:t>
      </w:r>
      <w:r w:rsidR="00767EE4" w:rsidRPr="00B5701F">
        <w:t xml:space="preserve"> and 2,</w:t>
      </w:r>
      <w:r w:rsidR="000362FA" w:rsidRPr="00B5701F">
        <w:t xml:space="preserve"> </w:t>
      </w:r>
      <w:r w:rsidRPr="00B5701F">
        <w:t>draft of the LS response is provided in section 3 below.</w:t>
      </w:r>
      <w:r w:rsidR="00583E33" w:rsidRPr="00B5701F">
        <w:br w:type="page"/>
      </w:r>
    </w:p>
    <w:p w14:paraId="308363D3" w14:textId="1CED7A59" w:rsidR="008306B4" w:rsidRPr="008306B4" w:rsidRDefault="008306B4" w:rsidP="008306B4">
      <w:pPr>
        <w:pStyle w:val="Heading1"/>
        <w:numPr>
          <w:ilvl w:val="0"/>
          <w:numId w:val="1"/>
        </w:numPr>
        <w:spacing w:before="360" w:after="0"/>
        <w:ind w:left="357" w:hanging="357"/>
      </w:pPr>
      <w:r>
        <w:lastRenderedPageBreak/>
        <w:t>Draft of LS Response</w:t>
      </w:r>
      <w:r w:rsidR="00D53884">
        <w:t xml:space="preserve"> to RAN</w:t>
      </w:r>
      <w:r w:rsidR="009942D9">
        <w:t>3</w:t>
      </w:r>
    </w:p>
    <w:p w14:paraId="3B9966E9" w14:textId="77777777" w:rsidR="008306B4" w:rsidRPr="00165506" w:rsidRDefault="008306B4" w:rsidP="008306B4">
      <w:pPr>
        <w:spacing w:after="0"/>
        <w:rPr>
          <w:rFonts w:ascii="Arial" w:hAnsi="Arial" w:cs="Arial"/>
        </w:rPr>
      </w:pPr>
    </w:p>
    <w:p w14:paraId="320CC70A" w14:textId="089E29CC" w:rsidR="009A44A2" w:rsidRPr="009A44A2" w:rsidRDefault="009A44A2" w:rsidP="009A44A2">
      <w:pPr>
        <w:spacing w:after="60"/>
        <w:ind w:left="1985" w:hanging="1985"/>
        <w:rPr>
          <w:rFonts w:ascii="Arial" w:hAnsi="Arial" w:cs="Arial"/>
        </w:rPr>
      </w:pPr>
      <w:r w:rsidRPr="009A44A2">
        <w:rPr>
          <w:rFonts w:ascii="Arial" w:hAnsi="Arial" w:cs="Arial"/>
          <w:b/>
        </w:rPr>
        <w:t>Title:</w:t>
      </w:r>
      <w:r w:rsidRPr="009A44A2">
        <w:rPr>
          <w:rFonts w:ascii="Arial" w:hAnsi="Arial" w:cs="Arial"/>
          <w:b/>
        </w:rPr>
        <w:tab/>
      </w:r>
      <w:r w:rsidRPr="009A44A2">
        <w:rPr>
          <w:rFonts w:ascii="Arial" w:hAnsi="Arial" w:cs="Arial"/>
        </w:rPr>
        <w:t>L</w:t>
      </w:r>
      <w:r w:rsidRPr="009A44A2">
        <w:rPr>
          <w:rFonts w:ascii="Arial" w:hAnsi="Arial" w:cs="Arial"/>
          <w:lang w:eastAsia="zh-CN"/>
        </w:rPr>
        <w:t>S response o</w:t>
      </w:r>
      <w:r w:rsidRPr="009A44A2">
        <w:rPr>
          <w:rFonts w:ascii="Arial" w:hAnsi="Arial" w:cs="Arial"/>
        </w:rPr>
        <w:t xml:space="preserve">n </w:t>
      </w:r>
      <w:r w:rsidR="00C90345" w:rsidRPr="00C90345">
        <w:rPr>
          <w:rFonts w:ascii="Arial" w:hAnsi="Arial" w:cs="Arial"/>
        </w:rPr>
        <w:t>Inter-donor migration</w:t>
      </w:r>
    </w:p>
    <w:p w14:paraId="2F3CA8BE" w14:textId="5FE06691" w:rsidR="009A44A2" w:rsidRPr="009A44A2" w:rsidRDefault="009A44A2" w:rsidP="009A44A2">
      <w:pPr>
        <w:spacing w:after="60"/>
        <w:ind w:left="1985" w:hanging="1985"/>
        <w:rPr>
          <w:rFonts w:ascii="Arial" w:hAnsi="Arial" w:cs="Arial"/>
          <w:bCs/>
        </w:rPr>
      </w:pPr>
      <w:r w:rsidRPr="009A44A2">
        <w:rPr>
          <w:rFonts w:ascii="Arial" w:hAnsi="Arial" w:cs="Arial"/>
          <w:b/>
        </w:rPr>
        <w:t>Response to:</w:t>
      </w:r>
      <w:r w:rsidRPr="009A44A2">
        <w:rPr>
          <w:rFonts w:ascii="Arial" w:hAnsi="Arial" w:cs="Arial"/>
          <w:bCs/>
        </w:rPr>
        <w:tab/>
      </w:r>
      <w:r w:rsidR="00385BB6" w:rsidRPr="00385BB6">
        <w:rPr>
          <w:rFonts w:ascii="Arial" w:hAnsi="Arial" w:cs="Arial"/>
          <w:bCs/>
        </w:rPr>
        <w:t>R3-212981</w:t>
      </w:r>
    </w:p>
    <w:p w14:paraId="45226042" w14:textId="77777777" w:rsidR="009A44A2" w:rsidRPr="009A44A2" w:rsidRDefault="009A44A2" w:rsidP="009A44A2">
      <w:pPr>
        <w:spacing w:after="60"/>
        <w:ind w:left="1985" w:hanging="1985"/>
        <w:rPr>
          <w:rFonts w:ascii="Arial" w:hAnsi="Arial" w:cs="Arial"/>
          <w:bCs/>
          <w:lang w:eastAsia="zh-CN"/>
        </w:rPr>
      </w:pPr>
      <w:r w:rsidRPr="009A44A2">
        <w:rPr>
          <w:rFonts w:ascii="Arial" w:hAnsi="Arial" w:cs="Arial"/>
          <w:b/>
        </w:rPr>
        <w:t>Release:</w:t>
      </w:r>
      <w:r w:rsidRPr="009A44A2">
        <w:rPr>
          <w:rFonts w:ascii="Arial" w:hAnsi="Arial" w:cs="Arial"/>
          <w:bCs/>
        </w:rPr>
        <w:tab/>
      </w:r>
      <w:r w:rsidRPr="009A44A2">
        <w:rPr>
          <w:rFonts w:ascii="Arial" w:hAnsi="Arial" w:cs="Arial" w:hint="eastAsia"/>
          <w:bCs/>
          <w:lang w:eastAsia="zh-CN"/>
        </w:rPr>
        <w:t>Rel-1</w:t>
      </w:r>
      <w:r w:rsidRPr="009A44A2">
        <w:rPr>
          <w:rFonts w:ascii="Arial" w:hAnsi="Arial" w:cs="Arial"/>
          <w:bCs/>
          <w:lang w:eastAsia="zh-CN"/>
        </w:rPr>
        <w:t>7</w:t>
      </w:r>
    </w:p>
    <w:p w14:paraId="52D398A5" w14:textId="7454424F" w:rsidR="009A44A2" w:rsidRPr="009A44A2" w:rsidRDefault="00327138" w:rsidP="009A44A2">
      <w:pPr>
        <w:spacing w:after="60"/>
        <w:ind w:left="1985" w:hanging="1985"/>
        <w:rPr>
          <w:rFonts w:ascii="Arial" w:hAnsi="Arial" w:cs="Arial"/>
          <w:bCs/>
        </w:rPr>
      </w:pPr>
      <w:r>
        <w:rPr>
          <w:rFonts w:ascii="Arial" w:hAnsi="Arial" w:cs="Arial"/>
          <w:b/>
        </w:rPr>
        <w:t>Work</w:t>
      </w:r>
      <w:r w:rsidR="009A44A2" w:rsidRPr="009A44A2">
        <w:rPr>
          <w:rFonts w:ascii="Arial" w:hAnsi="Arial" w:cs="Arial"/>
          <w:b/>
        </w:rPr>
        <w:t xml:space="preserve"> Item:</w:t>
      </w:r>
      <w:r w:rsidR="009A44A2" w:rsidRPr="009A44A2">
        <w:rPr>
          <w:rFonts w:ascii="Arial" w:hAnsi="Arial" w:cs="Arial"/>
          <w:bCs/>
        </w:rPr>
        <w:tab/>
      </w:r>
      <w:proofErr w:type="spellStart"/>
      <w:r w:rsidR="003F69B0" w:rsidRPr="003F69B0">
        <w:rPr>
          <w:rFonts w:ascii="Arial" w:hAnsi="Arial" w:cs="Arial"/>
          <w:bCs/>
        </w:rPr>
        <w:t>NR_IAB_enh</w:t>
      </w:r>
      <w:proofErr w:type="spellEnd"/>
      <w:r w:rsidR="003F69B0" w:rsidRPr="003F69B0">
        <w:rPr>
          <w:rFonts w:ascii="Arial" w:hAnsi="Arial" w:cs="Arial"/>
          <w:bCs/>
        </w:rPr>
        <w:t>-Core</w:t>
      </w:r>
    </w:p>
    <w:p w14:paraId="1A93D586" w14:textId="77777777" w:rsidR="009A44A2" w:rsidRPr="009A44A2" w:rsidRDefault="009A44A2" w:rsidP="009A44A2">
      <w:pPr>
        <w:spacing w:after="60"/>
        <w:ind w:left="1985" w:hanging="1985"/>
        <w:rPr>
          <w:rFonts w:ascii="Arial" w:hAnsi="Arial" w:cs="Arial"/>
          <w:b/>
        </w:rPr>
      </w:pPr>
    </w:p>
    <w:p w14:paraId="34733884" w14:textId="0B28507D" w:rsidR="009A44A2" w:rsidRPr="009A44A2" w:rsidRDefault="009A44A2" w:rsidP="009A44A2">
      <w:pPr>
        <w:spacing w:after="60"/>
        <w:ind w:left="1985" w:hanging="1985"/>
        <w:rPr>
          <w:rFonts w:ascii="Arial" w:eastAsia="MS Mincho" w:hAnsi="Arial" w:cs="Arial"/>
          <w:bCs/>
          <w:lang w:eastAsia="ja-JP"/>
        </w:rPr>
      </w:pPr>
      <w:r w:rsidRPr="009A44A2">
        <w:rPr>
          <w:rFonts w:ascii="Arial" w:hAnsi="Arial" w:cs="Arial"/>
          <w:b/>
        </w:rPr>
        <w:t>Source:</w:t>
      </w:r>
      <w:r w:rsidRPr="009A44A2">
        <w:rPr>
          <w:rFonts w:ascii="Arial" w:hAnsi="Arial" w:cs="Arial"/>
          <w:bCs/>
          <w:color w:val="FF0000"/>
        </w:rPr>
        <w:tab/>
      </w:r>
      <w:r w:rsidRPr="009A44A2">
        <w:rPr>
          <w:rFonts w:ascii="Arial" w:eastAsia="MS Mincho" w:hAnsi="Arial" w:cs="Arial"/>
          <w:bCs/>
          <w:lang w:eastAsia="ja-JP"/>
        </w:rPr>
        <w:t>TSG RAN WG</w:t>
      </w:r>
      <w:r w:rsidR="009942D9">
        <w:rPr>
          <w:rFonts w:ascii="Arial" w:eastAsia="MS Mincho" w:hAnsi="Arial" w:cs="Arial"/>
          <w:bCs/>
          <w:lang w:eastAsia="ja-JP"/>
        </w:rPr>
        <w:t>3</w:t>
      </w:r>
    </w:p>
    <w:p w14:paraId="434BFAB1" w14:textId="41F2E826" w:rsidR="009A44A2" w:rsidRPr="009A44A2" w:rsidRDefault="009A44A2" w:rsidP="009A44A2">
      <w:pPr>
        <w:spacing w:after="60"/>
        <w:ind w:left="1985" w:hanging="1985"/>
        <w:rPr>
          <w:rFonts w:ascii="Arial" w:hAnsi="Arial" w:cs="Arial"/>
          <w:bCs/>
        </w:rPr>
      </w:pPr>
      <w:r w:rsidRPr="009A44A2">
        <w:rPr>
          <w:rFonts w:ascii="Arial" w:hAnsi="Arial" w:cs="Arial"/>
          <w:b/>
        </w:rPr>
        <w:t>To:</w:t>
      </w:r>
      <w:r w:rsidRPr="009A44A2">
        <w:rPr>
          <w:rFonts w:ascii="Arial" w:hAnsi="Arial" w:cs="Arial"/>
          <w:bCs/>
        </w:rPr>
        <w:tab/>
        <w:t xml:space="preserve">TSG </w:t>
      </w:r>
      <w:r w:rsidRPr="009A44A2">
        <w:rPr>
          <w:rFonts w:ascii="Arial" w:eastAsia="MS Mincho" w:hAnsi="Arial" w:cs="Arial"/>
          <w:bCs/>
          <w:lang w:eastAsia="ja-JP"/>
        </w:rPr>
        <w:t>RAN WG</w:t>
      </w:r>
      <w:r w:rsidR="005D538D">
        <w:rPr>
          <w:rFonts w:ascii="Arial" w:eastAsia="MS Mincho" w:hAnsi="Arial" w:cs="Arial"/>
          <w:bCs/>
          <w:lang w:eastAsia="ja-JP"/>
        </w:rPr>
        <w:t>1</w:t>
      </w:r>
      <w:r w:rsidR="009942D9">
        <w:rPr>
          <w:rFonts w:ascii="Arial" w:eastAsia="MS Mincho" w:hAnsi="Arial" w:cs="Arial"/>
          <w:bCs/>
          <w:lang w:eastAsia="ja-JP"/>
        </w:rPr>
        <w:t xml:space="preserve">, </w:t>
      </w:r>
      <w:r w:rsidR="009942D9" w:rsidRPr="009A44A2">
        <w:rPr>
          <w:rFonts w:ascii="Arial" w:hAnsi="Arial" w:cs="Arial"/>
          <w:bCs/>
        </w:rPr>
        <w:t xml:space="preserve">TSG </w:t>
      </w:r>
      <w:r w:rsidR="009942D9" w:rsidRPr="009A44A2">
        <w:rPr>
          <w:rFonts w:ascii="Arial" w:eastAsia="MS Mincho" w:hAnsi="Arial" w:cs="Arial"/>
          <w:bCs/>
          <w:lang w:eastAsia="ja-JP"/>
        </w:rPr>
        <w:t>RAN WG</w:t>
      </w:r>
      <w:r w:rsidR="009942D9">
        <w:rPr>
          <w:rFonts w:ascii="Arial" w:eastAsia="MS Mincho" w:hAnsi="Arial" w:cs="Arial"/>
          <w:bCs/>
          <w:lang w:eastAsia="ja-JP"/>
        </w:rPr>
        <w:t>2</w:t>
      </w:r>
    </w:p>
    <w:p w14:paraId="54DD30DD" w14:textId="77777777" w:rsidR="009A44A2" w:rsidRPr="009A44A2" w:rsidRDefault="009A44A2" w:rsidP="009A44A2">
      <w:pPr>
        <w:spacing w:after="60"/>
        <w:ind w:left="1985" w:hanging="1985"/>
        <w:rPr>
          <w:rFonts w:ascii="Arial" w:hAnsi="Arial" w:cs="Arial"/>
          <w:bCs/>
          <w:lang w:eastAsia="zh-CN"/>
        </w:rPr>
      </w:pPr>
      <w:r w:rsidRPr="009A44A2">
        <w:rPr>
          <w:rFonts w:ascii="Arial" w:hAnsi="Arial" w:cs="Arial"/>
          <w:b/>
        </w:rPr>
        <w:t>Cc:</w:t>
      </w:r>
      <w:r w:rsidRPr="009A44A2">
        <w:rPr>
          <w:rFonts w:ascii="Arial" w:hAnsi="Arial" w:cs="Arial"/>
          <w:bCs/>
        </w:rPr>
        <w:tab/>
      </w:r>
    </w:p>
    <w:p w14:paraId="44A882F3" w14:textId="77777777" w:rsidR="009A44A2" w:rsidRPr="009A44A2" w:rsidRDefault="009A44A2" w:rsidP="009A44A2">
      <w:pPr>
        <w:spacing w:after="60"/>
        <w:ind w:left="1985" w:hanging="1985"/>
        <w:rPr>
          <w:rFonts w:ascii="Arial" w:hAnsi="Arial" w:cs="Arial"/>
          <w:bCs/>
        </w:rPr>
      </w:pPr>
    </w:p>
    <w:p w14:paraId="0FB47700" w14:textId="77777777" w:rsidR="009A44A2" w:rsidRPr="009A44A2" w:rsidRDefault="009A44A2" w:rsidP="009F61C2">
      <w:pPr>
        <w:tabs>
          <w:tab w:val="left" w:pos="2268"/>
        </w:tabs>
        <w:spacing w:after="0"/>
        <w:rPr>
          <w:rFonts w:ascii="Arial" w:hAnsi="Arial" w:cs="Arial"/>
          <w:bCs/>
        </w:rPr>
      </w:pPr>
      <w:r w:rsidRPr="009A44A2">
        <w:rPr>
          <w:rFonts w:ascii="Arial" w:hAnsi="Arial" w:cs="Arial"/>
          <w:b/>
        </w:rPr>
        <w:t>Contact Person:</w:t>
      </w:r>
      <w:r w:rsidRPr="009A44A2">
        <w:rPr>
          <w:rFonts w:ascii="Arial" w:hAnsi="Arial" w:cs="Arial"/>
          <w:bCs/>
        </w:rPr>
        <w:tab/>
      </w:r>
    </w:p>
    <w:p w14:paraId="194602DC" w14:textId="7ECCE050" w:rsidR="009A44A2" w:rsidRPr="00A77096" w:rsidRDefault="009A44A2" w:rsidP="009F61C2">
      <w:pPr>
        <w:pStyle w:val="Heading4"/>
        <w:tabs>
          <w:tab w:val="left" w:pos="2268"/>
        </w:tabs>
        <w:spacing w:before="0" w:after="0"/>
        <w:rPr>
          <w:rFonts w:cs="Arial"/>
          <w:sz w:val="20"/>
        </w:rPr>
      </w:pPr>
      <w:r w:rsidRPr="00A77096">
        <w:rPr>
          <w:rFonts w:cs="Arial"/>
          <w:sz w:val="20"/>
        </w:rPr>
        <w:t>Name:</w:t>
      </w:r>
      <w:r w:rsidRPr="00A77096">
        <w:rPr>
          <w:rFonts w:cs="Arial"/>
          <w:sz w:val="20"/>
        </w:rPr>
        <w:tab/>
        <w:t xml:space="preserve">     </w:t>
      </w:r>
      <w:r w:rsidR="009F61C2" w:rsidRPr="00A77096">
        <w:rPr>
          <w:rFonts w:cs="Arial"/>
          <w:sz w:val="20"/>
        </w:rPr>
        <w:t xml:space="preserve">     </w:t>
      </w:r>
      <w:r w:rsidRPr="00A77096">
        <w:rPr>
          <w:rFonts w:cs="Arial"/>
          <w:sz w:val="20"/>
        </w:rPr>
        <w:t>Muhammad Kazmi</w:t>
      </w:r>
    </w:p>
    <w:p w14:paraId="3EFB0689" w14:textId="27554B0C" w:rsidR="008306B4" w:rsidRPr="00A77096" w:rsidRDefault="009A44A2" w:rsidP="009F61C2">
      <w:pPr>
        <w:pStyle w:val="Heading7"/>
        <w:tabs>
          <w:tab w:val="left" w:pos="2268"/>
        </w:tabs>
        <w:spacing w:before="0" w:after="0"/>
        <w:ind w:left="1984"/>
        <w:rPr>
          <w:rFonts w:cs="Arial"/>
        </w:rPr>
      </w:pPr>
      <w:r w:rsidRPr="00A77096">
        <w:rPr>
          <w:rFonts w:cs="Arial"/>
        </w:rPr>
        <w:t>E-mail Address:</w:t>
      </w:r>
      <w:r w:rsidRPr="00A77096">
        <w:rPr>
          <w:rFonts w:cs="Arial"/>
        </w:rPr>
        <w:tab/>
      </w:r>
      <w:r w:rsidR="00025D74" w:rsidRPr="00A77096">
        <w:rPr>
          <w:rFonts w:cs="Arial"/>
        </w:rPr>
        <w:t>muhammad</w:t>
      </w:r>
      <w:r w:rsidRPr="00A77096">
        <w:rPr>
          <w:rFonts w:cs="Arial"/>
        </w:rPr>
        <w:t>.</w:t>
      </w:r>
      <w:r w:rsidR="00025D74" w:rsidRPr="00A77096">
        <w:rPr>
          <w:rFonts w:cs="Arial"/>
        </w:rPr>
        <w:t>kazmi</w:t>
      </w:r>
      <w:r w:rsidRPr="00A77096">
        <w:rPr>
          <w:rFonts w:cs="Arial"/>
        </w:rPr>
        <w:t>@</w:t>
      </w:r>
      <w:r w:rsidR="00025D74" w:rsidRPr="00A77096">
        <w:rPr>
          <w:rFonts w:cs="Arial"/>
        </w:rPr>
        <w:t>ericsson</w:t>
      </w:r>
      <w:r w:rsidRPr="00A77096">
        <w:rPr>
          <w:rFonts w:cs="Arial"/>
        </w:rPr>
        <w:t>.com</w:t>
      </w:r>
    </w:p>
    <w:p w14:paraId="2B97A0B1" w14:textId="77777777" w:rsidR="008306B4" w:rsidRDefault="008306B4" w:rsidP="008306B4">
      <w:pPr>
        <w:spacing w:after="120"/>
        <w:rPr>
          <w:rFonts w:ascii="Arial" w:hAnsi="Arial" w:cs="Arial"/>
          <w:b/>
        </w:rPr>
      </w:pPr>
    </w:p>
    <w:p w14:paraId="070DCE41" w14:textId="3F36924E" w:rsidR="008306B4" w:rsidRPr="00165506" w:rsidRDefault="008306B4" w:rsidP="008306B4">
      <w:pPr>
        <w:spacing w:after="120"/>
        <w:rPr>
          <w:rFonts w:ascii="Arial" w:hAnsi="Arial" w:cs="Arial"/>
          <w:b/>
        </w:rPr>
      </w:pPr>
      <w:r w:rsidRPr="00165506">
        <w:rPr>
          <w:rFonts w:ascii="Arial" w:hAnsi="Arial" w:cs="Arial"/>
          <w:b/>
        </w:rPr>
        <w:t>1. Overall Description:</w:t>
      </w:r>
    </w:p>
    <w:p w14:paraId="03C5BE4E" w14:textId="08070A0D" w:rsidR="009B1A5B" w:rsidRPr="00E66987" w:rsidRDefault="008306B4" w:rsidP="006849CE">
      <w:pPr>
        <w:spacing w:afterLines="100" w:after="240"/>
        <w:jc w:val="both"/>
        <w:rPr>
          <w:rStyle w:val="eop"/>
          <w:rFonts w:ascii="Arial" w:hAnsi="Arial" w:cs="Arial"/>
          <w:color w:val="000000" w:themeColor="text1"/>
          <w:lang w:val="en-US"/>
        </w:rPr>
      </w:pPr>
      <w:r w:rsidRPr="00E66987">
        <w:rPr>
          <w:rFonts w:ascii="Arial" w:hAnsi="Arial" w:cs="Arial"/>
          <w:color w:val="000000" w:themeColor="text1"/>
        </w:rPr>
        <w:t xml:space="preserve">RAN4 would like to </w:t>
      </w:r>
      <w:r w:rsidR="00385BB6" w:rsidRPr="00E66987">
        <w:rPr>
          <w:rFonts w:ascii="Arial" w:hAnsi="Arial" w:cs="Arial"/>
          <w:color w:val="000000" w:themeColor="text1"/>
        </w:rPr>
        <w:t>thank RAN3 for their LS on Inter-donor migration</w:t>
      </w:r>
      <w:r w:rsidR="009B1A5B" w:rsidRPr="00E66987">
        <w:rPr>
          <w:rStyle w:val="normaltextrun"/>
          <w:rFonts w:ascii="Arial" w:hAnsi="Arial" w:cs="Arial"/>
          <w:color w:val="000000" w:themeColor="text1"/>
          <w:spacing w:val="-5"/>
          <w:lang w:val="en-US"/>
        </w:rPr>
        <w:t>. </w:t>
      </w:r>
      <w:r w:rsidR="009B1A5B" w:rsidRPr="00E66987">
        <w:rPr>
          <w:rStyle w:val="eop"/>
          <w:rFonts w:ascii="Arial" w:hAnsi="Arial" w:cs="Arial"/>
          <w:color w:val="000000" w:themeColor="text1"/>
          <w:lang w:val="en-US"/>
        </w:rPr>
        <w:t>​</w:t>
      </w:r>
      <w:r w:rsidR="00385BB6" w:rsidRPr="00E66987">
        <w:rPr>
          <w:rStyle w:val="eop"/>
          <w:rFonts w:ascii="Arial" w:hAnsi="Arial" w:cs="Arial"/>
          <w:color w:val="000000" w:themeColor="text1"/>
          <w:lang w:val="en-US"/>
        </w:rPr>
        <w:t xml:space="preserve">RAN4 would like to provide the following </w:t>
      </w:r>
      <w:r w:rsidR="008E673C" w:rsidRPr="00E66987">
        <w:rPr>
          <w:rStyle w:val="eop"/>
          <w:rFonts w:ascii="Arial" w:hAnsi="Arial" w:cs="Arial"/>
          <w:color w:val="000000" w:themeColor="text1"/>
          <w:lang w:val="en-US"/>
        </w:rPr>
        <w:t>observation and responses to the RAN3 questions</w:t>
      </w:r>
      <w:r w:rsidR="00E66987" w:rsidRPr="00E66987">
        <w:rPr>
          <w:rStyle w:val="eop"/>
          <w:rFonts w:ascii="Arial" w:hAnsi="Arial" w:cs="Arial"/>
          <w:color w:val="000000" w:themeColor="text1"/>
          <w:lang w:val="en-US"/>
        </w:rPr>
        <w:t>:</w:t>
      </w:r>
    </w:p>
    <w:p w14:paraId="08E0581B" w14:textId="41E46FDE" w:rsidR="008E673C" w:rsidRPr="00E66987" w:rsidRDefault="008E673C" w:rsidP="008E673C">
      <w:pPr>
        <w:rPr>
          <w:rFonts w:ascii="Arial" w:hAnsi="Arial" w:cs="Arial"/>
          <w:lang w:val="en-US"/>
        </w:rPr>
      </w:pPr>
      <w:r w:rsidRPr="00E66987">
        <w:rPr>
          <w:rFonts w:ascii="Arial" w:hAnsi="Arial" w:cs="Arial"/>
          <w:lang w:val="en-US"/>
        </w:rPr>
        <w:t xml:space="preserve">RAN4 HO requirements </w:t>
      </w:r>
      <w:r w:rsidR="00E506FC" w:rsidRPr="00E66987">
        <w:rPr>
          <w:rFonts w:ascii="Arial" w:hAnsi="Arial" w:cs="Arial"/>
          <w:lang w:val="en-US"/>
        </w:rPr>
        <w:t xml:space="preserve">within NR </w:t>
      </w:r>
      <w:r w:rsidRPr="00E66987">
        <w:rPr>
          <w:rFonts w:ascii="Arial" w:hAnsi="Arial" w:cs="Arial"/>
          <w:lang w:val="en-US"/>
        </w:rPr>
        <w:t xml:space="preserve">are defined in terms of </w:t>
      </w:r>
      <w:r w:rsidR="00AF445D" w:rsidRPr="00E66987">
        <w:rPr>
          <w:rFonts w:ascii="Arial" w:hAnsi="Arial" w:cs="Arial"/>
          <w:lang w:val="en-US"/>
        </w:rPr>
        <w:t xml:space="preserve">intra-frequency </w:t>
      </w:r>
      <w:r w:rsidR="00E66987" w:rsidRPr="00E66987">
        <w:rPr>
          <w:rFonts w:ascii="Arial" w:hAnsi="Arial" w:cs="Arial"/>
          <w:lang w:val="en-US"/>
        </w:rPr>
        <w:t xml:space="preserve">and inter-frequency </w:t>
      </w:r>
      <w:r w:rsidRPr="00E66987">
        <w:rPr>
          <w:rFonts w:ascii="Arial" w:hAnsi="Arial" w:cs="Arial"/>
          <w:lang w:val="en-US"/>
        </w:rPr>
        <w:t xml:space="preserve">handover delay </w:t>
      </w:r>
      <w:r w:rsidR="00F35DC5" w:rsidRPr="00E66987">
        <w:rPr>
          <w:rFonts w:ascii="Arial" w:hAnsi="Arial" w:cs="Arial"/>
          <w:lang w:val="en-US"/>
        </w:rPr>
        <w:t xml:space="preserve">for HO to cell2 </w:t>
      </w:r>
      <w:r w:rsidRPr="00E66987">
        <w:rPr>
          <w:rFonts w:ascii="Arial" w:hAnsi="Arial" w:cs="Arial"/>
          <w:lang w:val="en-US"/>
        </w:rPr>
        <w:t>on “physical layer” level</w:t>
      </w:r>
      <w:r w:rsidR="00E506FC" w:rsidRPr="00E66987">
        <w:rPr>
          <w:rFonts w:ascii="Arial" w:hAnsi="Arial" w:cs="Arial"/>
          <w:lang w:val="en-US"/>
        </w:rPr>
        <w:t xml:space="preserve"> in clauses 6.1.1, 6.1.3 and 6.1.4 in TS 38.133</w:t>
      </w:r>
      <w:r w:rsidRPr="00E66987">
        <w:rPr>
          <w:rFonts w:ascii="Arial" w:hAnsi="Arial" w:cs="Arial"/>
          <w:lang w:val="en-US"/>
        </w:rPr>
        <w:t xml:space="preserve">. </w:t>
      </w:r>
    </w:p>
    <w:p w14:paraId="138C4FDC" w14:textId="55F79A0D" w:rsidR="008E673C" w:rsidRPr="00E66987" w:rsidRDefault="00BC7277" w:rsidP="00AF445D">
      <w:pPr>
        <w:rPr>
          <w:rStyle w:val="eop"/>
          <w:rFonts w:ascii="Arial" w:hAnsi="Arial" w:cs="Arial"/>
          <w:lang w:val="en-US"/>
        </w:rPr>
      </w:pPr>
      <w:r w:rsidRPr="00E66987">
        <w:rPr>
          <w:rFonts w:ascii="Arial" w:hAnsi="Arial" w:cs="Arial"/>
          <w:lang w:val="en-US"/>
        </w:rPr>
        <w:t xml:space="preserve">RAN4 </w:t>
      </w:r>
      <w:r w:rsidR="008E673C" w:rsidRPr="00E66987">
        <w:rPr>
          <w:rFonts w:ascii="Arial" w:hAnsi="Arial" w:cs="Arial"/>
          <w:lang w:val="en-US"/>
        </w:rPr>
        <w:t xml:space="preserve">CGI identification requirements </w:t>
      </w:r>
      <w:r w:rsidR="00E506FC" w:rsidRPr="00E66987">
        <w:rPr>
          <w:rFonts w:ascii="Arial" w:hAnsi="Arial" w:cs="Arial"/>
          <w:lang w:val="en-US"/>
        </w:rPr>
        <w:t xml:space="preserve">within NR </w:t>
      </w:r>
      <w:r w:rsidR="008E673C" w:rsidRPr="00E66987">
        <w:rPr>
          <w:rFonts w:ascii="Arial" w:hAnsi="Arial" w:cs="Arial"/>
          <w:lang w:val="en-US"/>
        </w:rPr>
        <w:t xml:space="preserve">are defined in terms of CGI identification delay </w:t>
      </w:r>
      <w:r w:rsidR="00F35DC5" w:rsidRPr="00E66987">
        <w:rPr>
          <w:rFonts w:ascii="Arial" w:hAnsi="Arial" w:cs="Arial"/>
          <w:lang w:val="en-US"/>
        </w:rPr>
        <w:t>to iden</w:t>
      </w:r>
      <w:r w:rsidR="00EB134B" w:rsidRPr="00E66987">
        <w:rPr>
          <w:rFonts w:ascii="Arial" w:hAnsi="Arial" w:cs="Arial"/>
          <w:lang w:val="en-US"/>
        </w:rPr>
        <w:t xml:space="preserve">tify </w:t>
      </w:r>
      <w:r w:rsidR="00F35DC5" w:rsidRPr="00E66987">
        <w:rPr>
          <w:rFonts w:ascii="Arial" w:hAnsi="Arial" w:cs="Arial"/>
          <w:lang w:val="en-US"/>
        </w:rPr>
        <w:t>cell2</w:t>
      </w:r>
      <w:r w:rsidR="00EB134B" w:rsidRPr="00E66987">
        <w:rPr>
          <w:rFonts w:ascii="Arial" w:hAnsi="Arial" w:cs="Arial"/>
          <w:lang w:val="en-US"/>
        </w:rPr>
        <w:t xml:space="preserve">’s </w:t>
      </w:r>
      <w:r w:rsidR="00F35DC5" w:rsidRPr="00E66987">
        <w:rPr>
          <w:rFonts w:ascii="Arial" w:hAnsi="Arial" w:cs="Arial"/>
          <w:lang w:val="en-US"/>
        </w:rPr>
        <w:t xml:space="preserve">CGI </w:t>
      </w:r>
      <w:r w:rsidR="008E673C" w:rsidRPr="00E66987">
        <w:rPr>
          <w:rFonts w:ascii="Arial" w:hAnsi="Arial" w:cs="Arial"/>
          <w:lang w:val="en-US"/>
        </w:rPr>
        <w:t>on “physical layer” level</w:t>
      </w:r>
      <w:r w:rsidR="00EB134B" w:rsidRPr="00E66987">
        <w:rPr>
          <w:rFonts w:ascii="Arial" w:hAnsi="Arial" w:cs="Arial"/>
          <w:lang w:val="en-US"/>
        </w:rPr>
        <w:t xml:space="preserve"> in clause 9.11 in TS 38.133</w:t>
      </w:r>
      <w:r w:rsidR="008E673C" w:rsidRPr="00E66987">
        <w:rPr>
          <w:rFonts w:ascii="Arial" w:hAnsi="Arial" w:cs="Arial"/>
          <w:lang w:val="en-US"/>
        </w:rPr>
        <w:t xml:space="preserve">. </w:t>
      </w:r>
    </w:p>
    <w:p w14:paraId="688E7B05" w14:textId="311E9479" w:rsidR="008E673C" w:rsidRPr="00E66987" w:rsidRDefault="008E673C" w:rsidP="008E673C">
      <w:pPr>
        <w:rPr>
          <w:rFonts w:ascii="Arial" w:hAnsi="Arial" w:cs="Arial"/>
          <w:b/>
          <w:bCs/>
          <w:lang w:val="en-US"/>
        </w:rPr>
      </w:pPr>
      <w:r w:rsidRPr="00E66987">
        <w:rPr>
          <w:rFonts w:ascii="Arial" w:hAnsi="Arial" w:cs="Arial"/>
          <w:b/>
          <w:bCs/>
          <w:lang w:val="en-US"/>
        </w:rPr>
        <w:t>On implementation alternative # 1:</w:t>
      </w:r>
    </w:p>
    <w:p w14:paraId="7788D4B3" w14:textId="4E3BD606" w:rsidR="008E673C" w:rsidRPr="00E66987" w:rsidRDefault="008E673C" w:rsidP="008E673C">
      <w:pPr>
        <w:pStyle w:val="ListParagraph"/>
        <w:numPr>
          <w:ilvl w:val="0"/>
          <w:numId w:val="34"/>
        </w:numPr>
        <w:rPr>
          <w:rFonts w:cs="Arial"/>
          <w:sz w:val="20"/>
        </w:rPr>
      </w:pPr>
      <w:r w:rsidRPr="00E66987">
        <w:rPr>
          <w:rFonts w:cs="Arial"/>
          <w:sz w:val="20"/>
        </w:rPr>
        <w:t xml:space="preserve">RAN4 does not </w:t>
      </w:r>
      <w:proofErr w:type="spellStart"/>
      <w:r w:rsidRPr="00E66987">
        <w:rPr>
          <w:rFonts w:cs="Arial"/>
          <w:sz w:val="20"/>
        </w:rPr>
        <w:t>forsee</w:t>
      </w:r>
      <w:proofErr w:type="spellEnd"/>
      <w:r w:rsidRPr="00E66987">
        <w:rPr>
          <w:rFonts w:cs="Arial"/>
          <w:sz w:val="20"/>
        </w:rPr>
        <w:t xml:space="preserve"> any impact of alternative # 1 on any RAN4 handover delay or CGI identification delay requirement defined in TS 38.133.</w:t>
      </w:r>
    </w:p>
    <w:p w14:paraId="5754DB6D" w14:textId="77777777" w:rsidR="008E673C" w:rsidRPr="00E66987" w:rsidRDefault="008E673C" w:rsidP="008E673C">
      <w:pPr>
        <w:spacing w:before="240"/>
        <w:rPr>
          <w:rFonts w:ascii="Arial" w:hAnsi="Arial" w:cs="Arial"/>
          <w:lang w:val="en-US"/>
        </w:rPr>
      </w:pPr>
      <w:r w:rsidRPr="00E66987">
        <w:rPr>
          <w:rFonts w:ascii="Arial" w:hAnsi="Arial" w:cs="Arial"/>
          <w:b/>
          <w:bCs/>
          <w:lang w:val="en-US"/>
        </w:rPr>
        <w:t>On alternative # 2</w:t>
      </w:r>
      <w:r w:rsidRPr="00E66987">
        <w:rPr>
          <w:rFonts w:ascii="Arial" w:hAnsi="Arial" w:cs="Arial"/>
          <w:lang w:val="en-US"/>
        </w:rPr>
        <w:t>, RAN4 has following responses:</w:t>
      </w:r>
    </w:p>
    <w:p w14:paraId="6D72BCF0" w14:textId="77777777" w:rsidR="008E673C" w:rsidRPr="00E66987" w:rsidRDefault="008E673C" w:rsidP="008E673C">
      <w:pPr>
        <w:numPr>
          <w:ilvl w:val="0"/>
          <w:numId w:val="31"/>
        </w:numPr>
        <w:overflowPunct w:val="0"/>
        <w:autoSpaceDE w:val="0"/>
        <w:autoSpaceDN w:val="0"/>
        <w:adjustRightInd w:val="0"/>
        <w:spacing w:after="0" w:line="259" w:lineRule="auto"/>
        <w:ind w:left="357" w:hanging="357"/>
        <w:textAlignment w:val="baseline"/>
        <w:rPr>
          <w:rFonts w:ascii="Arial" w:hAnsi="Arial" w:cs="Arial"/>
          <w:b/>
          <w:i/>
          <w:iCs/>
          <w:lang w:val="en-US" w:eastAsia="zh-CN"/>
        </w:rPr>
      </w:pPr>
      <w:r w:rsidRPr="00B97728">
        <w:rPr>
          <w:rFonts w:ascii="Arial" w:hAnsi="Arial" w:cs="Arial"/>
          <w:b/>
          <w:i/>
          <w:iCs/>
          <w:lang w:val="en-US" w:eastAsia="zh-CN"/>
        </w:rPr>
        <w:t>Q1: Whether the current specification enables a RRC CONNECTED UE remains connected, while observing the change of NCGI, and no change to the PCI?</w:t>
      </w:r>
    </w:p>
    <w:p w14:paraId="65C722F2" w14:textId="77777777" w:rsidR="008E673C" w:rsidRPr="00B97728" w:rsidRDefault="008E673C" w:rsidP="008E673C">
      <w:pPr>
        <w:numPr>
          <w:ilvl w:val="0"/>
          <w:numId w:val="31"/>
        </w:numPr>
        <w:overflowPunct w:val="0"/>
        <w:autoSpaceDE w:val="0"/>
        <w:autoSpaceDN w:val="0"/>
        <w:adjustRightInd w:val="0"/>
        <w:spacing w:before="120" w:after="0" w:line="259" w:lineRule="auto"/>
        <w:ind w:left="357" w:hanging="357"/>
        <w:textAlignment w:val="baseline"/>
        <w:rPr>
          <w:rFonts w:ascii="Arial" w:hAnsi="Arial" w:cs="Arial"/>
          <w:bCs/>
          <w:i/>
          <w:iCs/>
          <w:lang w:val="en-US" w:eastAsia="zh-CN"/>
        </w:rPr>
      </w:pPr>
      <w:r w:rsidRPr="00E66987">
        <w:rPr>
          <w:rFonts w:ascii="Arial" w:hAnsi="Arial" w:cs="Arial"/>
          <w:bCs/>
          <w:i/>
          <w:iCs/>
          <w:lang w:val="en-US" w:eastAsia="zh-CN"/>
        </w:rPr>
        <w:t xml:space="preserve">[RAN4 Response]: No RAN4 requirement is impacted if NCGI changes while PCI remains unchanged. However, during NCGI acquisition time if the NCGI changes then the UE may not meet NCGI </w:t>
      </w:r>
      <w:proofErr w:type="spellStart"/>
      <w:r w:rsidRPr="00E66987">
        <w:rPr>
          <w:rFonts w:ascii="Arial" w:hAnsi="Arial" w:cs="Arial"/>
          <w:bCs/>
          <w:i/>
          <w:iCs/>
          <w:lang w:val="en-US" w:eastAsia="zh-CN"/>
        </w:rPr>
        <w:t>acquisiton</w:t>
      </w:r>
      <w:proofErr w:type="spellEnd"/>
      <w:r w:rsidRPr="00E66987">
        <w:rPr>
          <w:rFonts w:ascii="Arial" w:hAnsi="Arial" w:cs="Arial"/>
          <w:bCs/>
          <w:i/>
          <w:iCs/>
          <w:lang w:val="en-US" w:eastAsia="zh-CN"/>
        </w:rPr>
        <w:t xml:space="preserve"> delay requirements defined in clause 9.11, TS 38.133.</w:t>
      </w:r>
    </w:p>
    <w:p w14:paraId="23947D26" w14:textId="77777777" w:rsidR="008E673C" w:rsidRPr="00E66987" w:rsidRDefault="008E673C" w:rsidP="008E673C">
      <w:pPr>
        <w:numPr>
          <w:ilvl w:val="0"/>
          <w:numId w:val="31"/>
        </w:numPr>
        <w:overflowPunct w:val="0"/>
        <w:autoSpaceDE w:val="0"/>
        <w:autoSpaceDN w:val="0"/>
        <w:adjustRightInd w:val="0"/>
        <w:spacing w:before="120" w:after="0" w:line="259" w:lineRule="auto"/>
        <w:ind w:left="357" w:hanging="357"/>
        <w:textAlignment w:val="baseline"/>
        <w:rPr>
          <w:rFonts w:ascii="Arial" w:hAnsi="Arial" w:cs="Arial"/>
          <w:b/>
          <w:i/>
          <w:iCs/>
          <w:lang w:val="en-US" w:eastAsia="zh-CN"/>
        </w:rPr>
      </w:pPr>
      <w:r w:rsidRPr="00B97728">
        <w:rPr>
          <w:rFonts w:ascii="Arial" w:hAnsi="Arial" w:cs="Arial"/>
          <w:b/>
          <w:i/>
          <w:iCs/>
          <w:lang w:val="en-US" w:eastAsia="zh-CN"/>
        </w:rPr>
        <w:t>Q2: is it possible to use same PCI for cell1 and cell2, and support the HO from cell1 to cell2 without new impact to the UE (</w:t>
      </w:r>
      <w:proofErr w:type="gramStart"/>
      <w:r w:rsidRPr="00B97728">
        <w:rPr>
          <w:rFonts w:ascii="Arial" w:hAnsi="Arial" w:cs="Arial"/>
          <w:b/>
          <w:i/>
          <w:iCs/>
          <w:lang w:val="en-US" w:eastAsia="zh-CN"/>
        </w:rPr>
        <w:t>e.g.</w:t>
      </w:r>
      <w:proofErr w:type="gramEnd"/>
      <w:r w:rsidRPr="00B97728">
        <w:rPr>
          <w:rFonts w:ascii="Arial" w:hAnsi="Arial" w:cs="Arial"/>
          <w:b/>
          <w:i/>
          <w:iCs/>
          <w:lang w:val="en-US" w:eastAsia="zh-CN"/>
        </w:rPr>
        <w:t xml:space="preserve"> a legacy UE)?</w:t>
      </w:r>
    </w:p>
    <w:p w14:paraId="1291EF7A" w14:textId="77777777" w:rsidR="008E673C" w:rsidRPr="00B97728" w:rsidRDefault="008E673C" w:rsidP="008E673C">
      <w:pPr>
        <w:numPr>
          <w:ilvl w:val="0"/>
          <w:numId w:val="31"/>
        </w:numPr>
        <w:overflowPunct w:val="0"/>
        <w:autoSpaceDE w:val="0"/>
        <w:autoSpaceDN w:val="0"/>
        <w:adjustRightInd w:val="0"/>
        <w:spacing w:before="120" w:after="0" w:line="259" w:lineRule="auto"/>
        <w:ind w:left="357" w:hanging="357"/>
        <w:textAlignment w:val="baseline"/>
        <w:rPr>
          <w:rFonts w:ascii="Arial" w:hAnsi="Arial" w:cs="Arial"/>
          <w:bCs/>
          <w:i/>
          <w:iCs/>
          <w:lang w:val="en-US" w:eastAsia="zh-CN"/>
        </w:rPr>
      </w:pPr>
      <w:r w:rsidRPr="00E66987">
        <w:rPr>
          <w:rFonts w:ascii="Arial" w:hAnsi="Arial" w:cs="Arial"/>
          <w:bCs/>
          <w:i/>
          <w:iCs/>
          <w:lang w:val="en-US" w:eastAsia="zh-CN"/>
        </w:rPr>
        <w:t>[RAN4 Response]: The UE is not expected to meet the intra-frequency handover requirements if the PCIs of cell1 and cell2 are the same. There should not be any impact on inter-frequency handover requirements even if the PCIs of cell1 and cell2 are the same.</w:t>
      </w:r>
    </w:p>
    <w:p w14:paraId="039CD88A" w14:textId="77777777" w:rsidR="008E673C" w:rsidRPr="00B97728" w:rsidRDefault="008E673C" w:rsidP="008E673C">
      <w:pPr>
        <w:numPr>
          <w:ilvl w:val="0"/>
          <w:numId w:val="31"/>
        </w:numPr>
        <w:overflowPunct w:val="0"/>
        <w:autoSpaceDE w:val="0"/>
        <w:autoSpaceDN w:val="0"/>
        <w:adjustRightInd w:val="0"/>
        <w:snapToGrid w:val="0"/>
        <w:spacing w:before="120" w:after="0" w:line="259" w:lineRule="auto"/>
        <w:ind w:left="357" w:hanging="357"/>
        <w:textAlignment w:val="baseline"/>
        <w:rPr>
          <w:rFonts w:ascii="Arial" w:hAnsi="Arial" w:cs="Arial"/>
          <w:b/>
          <w:i/>
          <w:iCs/>
          <w:lang w:val="en-US" w:eastAsia="zh-CN"/>
        </w:rPr>
      </w:pPr>
      <w:r w:rsidRPr="00B97728">
        <w:rPr>
          <w:rFonts w:ascii="Arial" w:hAnsi="Arial" w:cs="Arial"/>
          <w:b/>
          <w:i/>
          <w:iCs/>
          <w:lang w:val="en-US" w:eastAsia="zh-CN"/>
        </w:rPr>
        <w:t>Q3: when cell1 and cell2 use different PCI/NCGI, is it possible to use one set of shared resource, without new impact to the UE?</w:t>
      </w:r>
    </w:p>
    <w:p w14:paraId="332BE8F8" w14:textId="38429B90" w:rsidR="008E673C" w:rsidRPr="00E66987" w:rsidRDefault="008E673C" w:rsidP="008E673C">
      <w:pPr>
        <w:numPr>
          <w:ilvl w:val="0"/>
          <w:numId w:val="31"/>
        </w:numPr>
        <w:overflowPunct w:val="0"/>
        <w:autoSpaceDE w:val="0"/>
        <w:autoSpaceDN w:val="0"/>
        <w:adjustRightInd w:val="0"/>
        <w:spacing w:before="120" w:after="0" w:line="259" w:lineRule="auto"/>
        <w:ind w:left="357" w:hanging="357"/>
        <w:textAlignment w:val="baseline"/>
        <w:rPr>
          <w:rFonts w:ascii="Arial" w:hAnsi="Arial" w:cs="Arial"/>
          <w:bCs/>
          <w:i/>
          <w:iCs/>
          <w:lang w:val="en-US" w:eastAsia="zh-CN"/>
        </w:rPr>
      </w:pPr>
      <w:r w:rsidRPr="00E66987">
        <w:rPr>
          <w:rFonts w:ascii="Arial" w:hAnsi="Arial" w:cs="Arial"/>
          <w:bCs/>
          <w:i/>
          <w:iCs/>
          <w:lang w:val="en-US" w:eastAsia="zh-CN"/>
        </w:rPr>
        <w:t xml:space="preserve">[RAN4 Response]: The UE is not expected to meet handover requirements if the same resources are used in cell1 and cell2 even if they use different PCI/NCGI. </w:t>
      </w:r>
    </w:p>
    <w:p w14:paraId="6AF3A9AF" w14:textId="77777777" w:rsidR="008306B4" w:rsidRDefault="008306B4" w:rsidP="00E66987">
      <w:pPr>
        <w:spacing w:before="240" w:after="120"/>
        <w:jc w:val="both"/>
        <w:rPr>
          <w:rFonts w:ascii="Arial" w:hAnsi="Arial" w:cs="Arial"/>
          <w:b/>
        </w:rPr>
      </w:pPr>
      <w:r>
        <w:rPr>
          <w:rFonts w:ascii="Arial" w:hAnsi="Arial" w:cs="Arial"/>
          <w:b/>
        </w:rPr>
        <w:t>2. Actions:</w:t>
      </w:r>
    </w:p>
    <w:p w14:paraId="20C18946" w14:textId="77777777" w:rsidR="008306B4" w:rsidRPr="00AE73E2" w:rsidRDefault="008306B4" w:rsidP="008306B4">
      <w:pPr>
        <w:spacing w:after="120"/>
        <w:ind w:left="1985" w:hanging="1985"/>
        <w:jc w:val="both"/>
        <w:rPr>
          <w:rFonts w:ascii="Arial" w:hAnsi="Arial" w:cs="Arial"/>
          <w:b/>
          <w:color w:val="000000"/>
          <w:lang w:eastAsia="zh-CN"/>
        </w:rPr>
      </w:pPr>
      <w:r w:rsidRPr="00AE73E2">
        <w:rPr>
          <w:rFonts w:ascii="Arial" w:hAnsi="Arial" w:cs="Arial"/>
          <w:b/>
          <w:color w:val="000000"/>
        </w:rPr>
        <w:t>To</w:t>
      </w:r>
      <w:r w:rsidRPr="00AE73E2">
        <w:rPr>
          <w:rFonts w:ascii="Arial" w:hAnsi="Arial" w:cs="Arial" w:hint="eastAsia"/>
          <w:b/>
          <w:color w:val="000000"/>
          <w:lang w:eastAsia="zh-CN"/>
        </w:rPr>
        <w:t xml:space="preserve"> </w:t>
      </w:r>
      <w:r w:rsidRPr="00AE73E2">
        <w:rPr>
          <w:rFonts w:ascii="Arial" w:hAnsi="Arial" w:cs="Arial"/>
          <w:b/>
          <w:color w:val="000000"/>
          <w:lang w:eastAsia="zh-CN"/>
        </w:rPr>
        <w:t>RAN</w:t>
      </w:r>
      <w:r>
        <w:rPr>
          <w:rFonts w:ascii="Arial" w:hAnsi="Arial" w:cs="Arial"/>
          <w:b/>
          <w:color w:val="000000"/>
          <w:lang w:eastAsia="zh-CN"/>
        </w:rPr>
        <w:t>1</w:t>
      </w:r>
    </w:p>
    <w:p w14:paraId="3BBC0F15" w14:textId="4E95D860" w:rsidR="008306B4" w:rsidRPr="00AE73E2" w:rsidRDefault="008306B4" w:rsidP="008306B4">
      <w:pPr>
        <w:spacing w:after="120"/>
        <w:ind w:left="993" w:hanging="993"/>
        <w:jc w:val="both"/>
        <w:rPr>
          <w:rFonts w:ascii="Arial" w:hAnsi="Arial" w:cs="Arial"/>
          <w:color w:val="000000"/>
          <w:lang w:eastAsia="zh-CN"/>
        </w:rPr>
      </w:pPr>
      <w:r w:rsidRPr="00AE73E2">
        <w:rPr>
          <w:rFonts w:ascii="Arial" w:hAnsi="Arial" w:cs="Arial"/>
          <w:b/>
          <w:color w:val="000000"/>
        </w:rPr>
        <w:t xml:space="preserve">ACTION: </w:t>
      </w:r>
      <w:r w:rsidRPr="00AE73E2">
        <w:rPr>
          <w:rFonts w:ascii="Arial" w:hAnsi="Arial" w:cs="Arial"/>
          <w:b/>
          <w:color w:val="000000"/>
        </w:rPr>
        <w:tab/>
      </w:r>
      <w:r w:rsidRPr="00AE73E2">
        <w:rPr>
          <w:rFonts w:ascii="Arial" w:hAnsi="Arial" w:cs="Arial"/>
          <w:iCs/>
          <w:color w:val="000000"/>
          <w:lang w:eastAsia="ko-KR"/>
        </w:rPr>
        <w:t>RAN</w:t>
      </w:r>
      <w:r>
        <w:rPr>
          <w:rFonts w:ascii="Arial" w:hAnsi="Arial" w:cs="Arial"/>
          <w:iCs/>
          <w:color w:val="000000"/>
          <w:lang w:eastAsia="ko-KR"/>
        </w:rPr>
        <w:t>4</w:t>
      </w:r>
      <w:r w:rsidRPr="00AE73E2">
        <w:rPr>
          <w:rFonts w:ascii="Arial" w:hAnsi="Arial" w:cs="Arial"/>
          <w:iCs/>
          <w:color w:val="000000"/>
          <w:lang w:eastAsia="ko-KR"/>
        </w:rPr>
        <w:t xml:space="preserve"> respectfully asks RAN</w:t>
      </w:r>
      <w:r w:rsidR="00E66987">
        <w:rPr>
          <w:rFonts w:ascii="Arial" w:hAnsi="Arial" w:cs="Arial"/>
          <w:iCs/>
          <w:color w:val="000000"/>
          <w:lang w:eastAsia="ko-KR"/>
        </w:rPr>
        <w:t>3</w:t>
      </w:r>
      <w:r w:rsidRPr="00AE73E2">
        <w:rPr>
          <w:rFonts w:ascii="Arial" w:hAnsi="Arial" w:cs="Arial"/>
          <w:iCs/>
          <w:color w:val="000000"/>
          <w:lang w:eastAsia="ko-KR"/>
        </w:rPr>
        <w:t xml:space="preserve"> to </w:t>
      </w:r>
      <w:proofErr w:type="gramStart"/>
      <w:r>
        <w:rPr>
          <w:rFonts w:ascii="Arial" w:hAnsi="Arial" w:cs="Arial"/>
          <w:iCs/>
          <w:color w:val="000000"/>
          <w:lang w:eastAsia="ko-KR"/>
        </w:rPr>
        <w:t>take into account</w:t>
      </w:r>
      <w:proofErr w:type="gramEnd"/>
      <w:r>
        <w:rPr>
          <w:rFonts w:ascii="Arial" w:hAnsi="Arial" w:cs="Arial"/>
          <w:iCs/>
          <w:color w:val="000000"/>
          <w:lang w:eastAsia="ko-KR"/>
        </w:rPr>
        <w:t xml:space="preserve"> RAN4 feedback</w:t>
      </w:r>
      <w:r w:rsidR="00266990">
        <w:rPr>
          <w:rFonts w:ascii="Arial" w:hAnsi="Arial" w:cs="Arial"/>
          <w:iCs/>
          <w:color w:val="000000"/>
          <w:lang w:eastAsia="ko-KR"/>
        </w:rPr>
        <w:t>/response</w:t>
      </w:r>
      <w:r>
        <w:rPr>
          <w:rFonts w:ascii="Arial" w:hAnsi="Arial" w:cs="Arial"/>
          <w:iCs/>
          <w:color w:val="000000"/>
          <w:lang w:eastAsia="ko-KR"/>
        </w:rPr>
        <w:t xml:space="preserve"> on </w:t>
      </w:r>
      <w:r w:rsidR="00272662">
        <w:rPr>
          <w:rFonts w:ascii="Arial" w:hAnsi="Arial" w:cs="Arial"/>
          <w:iCs/>
          <w:color w:val="000000"/>
          <w:lang w:eastAsia="ko-KR"/>
        </w:rPr>
        <w:t>th</w:t>
      </w:r>
      <w:r w:rsidR="00E66987">
        <w:rPr>
          <w:rFonts w:ascii="Arial" w:hAnsi="Arial" w:cs="Arial"/>
          <w:iCs/>
          <w:color w:val="000000"/>
          <w:lang w:eastAsia="ko-KR"/>
        </w:rPr>
        <w:t>eir future work on</w:t>
      </w:r>
      <w:r w:rsidR="00E66987" w:rsidRPr="00E66987">
        <w:t xml:space="preserve"> </w:t>
      </w:r>
      <w:r w:rsidR="00E66987" w:rsidRPr="00E66987">
        <w:rPr>
          <w:rFonts w:ascii="Arial" w:hAnsi="Arial" w:cs="Arial"/>
          <w:iCs/>
          <w:color w:val="000000"/>
          <w:lang w:eastAsia="ko-KR"/>
        </w:rPr>
        <w:t>implementation alternative</w:t>
      </w:r>
      <w:r w:rsidR="00E66987">
        <w:rPr>
          <w:rFonts w:ascii="Arial" w:hAnsi="Arial" w:cs="Arial"/>
          <w:iCs/>
          <w:color w:val="000000"/>
          <w:lang w:eastAsia="ko-KR"/>
        </w:rPr>
        <w:t>s for inter-donor migration</w:t>
      </w:r>
      <w:r w:rsidR="00663E2B">
        <w:rPr>
          <w:rFonts w:ascii="Arial" w:hAnsi="Arial" w:cs="Arial"/>
          <w:iCs/>
          <w:color w:val="000000"/>
          <w:lang w:eastAsia="ko-KR"/>
        </w:rPr>
        <w:t>.</w:t>
      </w:r>
    </w:p>
    <w:p w14:paraId="389B6B80" w14:textId="77777777" w:rsidR="008306B4" w:rsidRPr="00916ACD" w:rsidRDefault="008306B4" w:rsidP="008306B4">
      <w:pPr>
        <w:spacing w:after="120"/>
        <w:ind w:left="993" w:hanging="993"/>
        <w:jc w:val="both"/>
        <w:rPr>
          <w:rFonts w:ascii="Arial" w:hAnsi="Arial" w:cs="Arial"/>
          <w:lang w:eastAsia="zh-CN"/>
        </w:rPr>
      </w:pPr>
    </w:p>
    <w:p w14:paraId="28D31517" w14:textId="426E8318" w:rsidR="008306B4" w:rsidRPr="00207B65" w:rsidRDefault="008306B4" w:rsidP="00207B65">
      <w:pPr>
        <w:tabs>
          <w:tab w:val="left" w:pos="5507"/>
        </w:tabs>
        <w:rPr>
          <w:rFonts w:ascii="Arial" w:hAnsi="Arial" w:cs="Arial"/>
          <w:b/>
        </w:rPr>
      </w:pPr>
      <w:r w:rsidRPr="007321CD">
        <w:rPr>
          <w:rFonts w:ascii="Arial" w:hAnsi="Arial" w:cs="Arial"/>
          <w:b/>
        </w:rPr>
        <w:lastRenderedPageBreak/>
        <w:t>3. Date of Next TSG-RAN WG</w:t>
      </w:r>
      <w:r>
        <w:rPr>
          <w:rFonts w:ascii="Arial" w:hAnsi="Arial" w:cs="Arial"/>
          <w:b/>
        </w:rPr>
        <w:t>4</w:t>
      </w:r>
      <w:r w:rsidRPr="007321CD">
        <w:rPr>
          <w:rFonts w:ascii="Arial" w:hAnsi="Arial" w:cs="Arial"/>
          <w:b/>
        </w:rPr>
        <w:t xml:space="preserve"> Meetings:</w:t>
      </w:r>
      <w:r w:rsidRPr="007321CD">
        <w:rPr>
          <w:rFonts w:ascii="Arial" w:hAnsi="Arial" w:cs="Arial"/>
          <w:b/>
        </w:rPr>
        <w:tab/>
      </w:r>
    </w:p>
    <w:p w14:paraId="048D3FB2" w14:textId="04B1AFE4" w:rsidR="00261E34" w:rsidRDefault="00261E34" w:rsidP="00261E34">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Pr>
          <w:rFonts w:ascii="Arial" w:hAnsi="Arial" w:cs="Arial"/>
          <w:bCs/>
          <w:lang w:eastAsia="zh-CN"/>
        </w:rPr>
        <w:t>4</w:t>
      </w:r>
      <w:r w:rsidRPr="0036147A">
        <w:rPr>
          <w:rFonts w:ascii="Arial" w:hAnsi="Arial" w:cs="Arial"/>
          <w:bCs/>
        </w:rPr>
        <w:t xml:space="preserve"> Meeting </w:t>
      </w:r>
      <w:r w:rsidRPr="0036147A">
        <w:rPr>
          <w:rFonts w:ascii="Arial" w:hAnsi="Arial" w:cs="Arial"/>
          <w:bCs/>
          <w:color w:val="000000"/>
        </w:rPr>
        <w:t>#1</w:t>
      </w:r>
      <w:r>
        <w:rPr>
          <w:rFonts w:ascii="Arial" w:hAnsi="Arial" w:cs="Arial"/>
          <w:bCs/>
          <w:color w:val="000000"/>
        </w:rPr>
        <w:t>01</w:t>
      </w:r>
      <w:r w:rsidRPr="0036147A">
        <w:rPr>
          <w:rFonts w:ascii="Arial" w:hAnsi="Arial" w:cs="Arial"/>
          <w:bCs/>
          <w:color w:val="000000"/>
        </w:rPr>
        <w:t xml:space="preserve">-e </w:t>
      </w:r>
      <w:r w:rsidRPr="0036147A">
        <w:rPr>
          <w:rFonts w:ascii="Arial" w:hAnsi="Arial" w:cs="Arial"/>
          <w:bCs/>
          <w:color w:val="000000"/>
        </w:rPr>
        <w:tab/>
      </w:r>
      <w:r>
        <w:rPr>
          <w:rFonts w:ascii="Arial" w:hAnsi="Arial" w:cs="Arial"/>
          <w:bCs/>
          <w:color w:val="000000"/>
        </w:rPr>
        <w:t xml:space="preserve">     </w:t>
      </w:r>
      <w:r w:rsidR="003957EE">
        <w:rPr>
          <w:rFonts w:ascii="Arial" w:hAnsi="Arial" w:cs="Arial"/>
          <w:bCs/>
          <w:color w:val="000000"/>
        </w:rPr>
        <w:t xml:space="preserve">1-12 </w:t>
      </w:r>
      <w:r w:rsidR="00365324">
        <w:rPr>
          <w:rFonts w:ascii="Arial" w:hAnsi="Arial" w:cs="Arial"/>
          <w:bCs/>
          <w:color w:val="000000"/>
        </w:rPr>
        <w:t>November</w:t>
      </w:r>
      <w:r>
        <w:rPr>
          <w:rFonts w:ascii="Arial" w:hAnsi="Arial" w:cs="Arial"/>
          <w:bCs/>
          <w:color w:val="000000"/>
        </w:rPr>
        <w:t xml:space="preserve"> </w:t>
      </w:r>
      <w:r w:rsidRPr="00BD3E49">
        <w:rPr>
          <w:rFonts w:ascii="Arial" w:hAnsi="Arial" w:cs="Arial"/>
          <w:bCs/>
          <w:color w:val="000000"/>
        </w:rPr>
        <w:t>2021</w:t>
      </w:r>
      <w:r w:rsidRPr="0036147A">
        <w:rPr>
          <w:rFonts w:ascii="Arial" w:hAnsi="Arial" w:cs="Arial"/>
          <w:bCs/>
          <w:color w:val="000000"/>
        </w:rPr>
        <w:tab/>
      </w:r>
      <w:r w:rsidRPr="0036147A">
        <w:rPr>
          <w:rFonts w:ascii="Arial" w:hAnsi="Arial" w:cs="Arial"/>
          <w:bCs/>
          <w:color w:val="000000"/>
        </w:rPr>
        <w:tab/>
      </w:r>
      <w:r>
        <w:rPr>
          <w:rFonts w:ascii="Arial" w:hAnsi="Arial" w:cs="Arial"/>
          <w:bCs/>
          <w:color w:val="000000"/>
        </w:rPr>
        <w:t xml:space="preserve">     </w:t>
      </w:r>
      <w:r w:rsidRPr="0036147A">
        <w:rPr>
          <w:rFonts w:ascii="Arial" w:hAnsi="Arial" w:cs="Arial"/>
          <w:bCs/>
          <w:color w:val="000000"/>
        </w:rPr>
        <w:t>Electronic Meetin</w:t>
      </w:r>
      <w:r>
        <w:rPr>
          <w:rFonts w:ascii="Arial" w:hAnsi="Arial" w:cs="Arial"/>
          <w:bCs/>
          <w:color w:val="000000"/>
        </w:rPr>
        <w:t>g</w:t>
      </w:r>
    </w:p>
    <w:p w14:paraId="52539326" w14:textId="77777777" w:rsidR="008306B4" w:rsidRPr="002068B8" w:rsidRDefault="008306B4" w:rsidP="008306B4">
      <w:pPr>
        <w:pBdr>
          <w:bottom w:val="single" w:sz="6" w:space="1" w:color="auto"/>
        </w:pBdr>
        <w:tabs>
          <w:tab w:val="left" w:pos="5103"/>
        </w:tabs>
        <w:spacing w:after="120"/>
        <w:ind w:left="2268" w:hanging="2268"/>
        <w:rPr>
          <w:rFonts w:ascii="Arial" w:hAnsi="Arial" w:cs="Arial"/>
          <w:bCs/>
          <w:color w:val="000000"/>
        </w:rPr>
      </w:pPr>
    </w:p>
    <w:p w14:paraId="38A8F316" w14:textId="77777777" w:rsidR="008306B4" w:rsidRPr="009B4A63" w:rsidRDefault="008306B4" w:rsidP="009B4A63"/>
    <w:p w14:paraId="4F407A74" w14:textId="0EA81A66" w:rsidR="00C8565F" w:rsidRPr="0064384A" w:rsidRDefault="00C8565F" w:rsidP="00C8565F">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p>
    <w:p w14:paraId="156F80C5" w14:textId="235DBD86" w:rsidR="007C7F17" w:rsidRDefault="009942D9" w:rsidP="00770B2D">
      <w:pPr>
        <w:pStyle w:val="ListParagraph"/>
        <w:numPr>
          <w:ilvl w:val="0"/>
          <w:numId w:val="4"/>
        </w:numPr>
        <w:spacing w:before="240"/>
        <w:ind w:left="357" w:hanging="357"/>
        <w:contextualSpacing w:val="0"/>
        <w:rPr>
          <w:rFonts w:ascii="Times New Roman" w:hAnsi="Times New Roman"/>
          <w:sz w:val="18"/>
          <w:szCs w:val="18"/>
        </w:rPr>
      </w:pPr>
      <w:r w:rsidRPr="009942D9">
        <w:rPr>
          <w:rFonts w:ascii="Times New Roman" w:hAnsi="Times New Roman"/>
          <w:sz w:val="18"/>
          <w:szCs w:val="18"/>
        </w:rPr>
        <w:t>R3-212981</w:t>
      </w:r>
      <w:r w:rsidR="007C7F17" w:rsidRPr="007C7F17">
        <w:rPr>
          <w:rFonts w:ascii="Times New Roman" w:hAnsi="Times New Roman"/>
          <w:sz w:val="18"/>
          <w:szCs w:val="18"/>
        </w:rPr>
        <w:t xml:space="preserve">, </w:t>
      </w:r>
      <w:r w:rsidR="00B63FCE" w:rsidRPr="00B63FCE">
        <w:rPr>
          <w:rFonts w:ascii="Times New Roman" w:hAnsi="Times New Roman"/>
          <w:sz w:val="18"/>
          <w:szCs w:val="18"/>
        </w:rPr>
        <w:t>LS on Inter-donor migration</w:t>
      </w:r>
      <w:r w:rsidR="007C7F17">
        <w:rPr>
          <w:rFonts w:ascii="Times New Roman" w:hAnsi="Times New Roman"/>
          <w:sz w:val="18"/>
          <w:szCs w:val="18"/>
        </w:rPr>
        <w:t>, RAN</w:t>
      </w:r>
      <w:r w:rsidR="00B63FCE">
        <w:rPr>
          <w:rFonts w:ascii="Times New Roman" w:hAnsi="Times New Roman"/>
          <w:sz w:val="18"/>
          <w:szCs w:val="18"/>
        </w:rPr>
        <w:t>3</w:t>
      </w:r>
      <w:r w:rsidR="007C7F17">
        <w:rPr>
          <w:rFonts w:ascii="Times New Roman" w:hAnsi="Times New Roman"/>
          <w:sz w:val="18"/>
          <w:szCs w:val="18"/>
        </w:rPr>
        <w:t xml:space="preserve"> LS </w:t>
      </w:r>
      <w:r w:rsidR="00B63FCE">
        <w:rPr>
          <w:rFonts w:ascii="Times New Roman" w:hAnsi="Times New Roman"/>
          <w:sz w:val="18"/>
          <w:szCs w:val="18"/>
        </w:rPr>
        <w:t>in</w:t>
      </w:r>
    </w:p>
    <w:p w14:paraId="6D34CB60" w14:textId="2AE9F7FA" w:rsidR="00EB2DE7" w:rsidRPr="004928CA" w:rsidRDefault="00EB2DE7" w:rsidP="00EB2DE7">
      <w:pPr>
        <w:overflowPunct w:val="0"/>
        <w:autoSpaceDE w:val="0"/>
        <w:autoSpaceDN w:val="0"/>
        <w:adjustRightInd w:val="0"/>
        <w:textAlignment w:val="baseline"/>
        <w:rPr>
          <w:sz w:val="18"/>
          <w:szCs w:val="18"/>
          <w:lang w:val="en-US"/>
        </w:rPr>
      </w:pPr>
    </w:p>
    <w:bookmarkEnd w:id="1"/>
    <w:bookmarkEnd w:id="2"/>
    <w:p w14:paraId="6CDB067D" w14:textId="77777777" w:rsidR="00EB2DE7" w:rsidRPr="00EB2DE7" w:rsidRDefault="00EB2DE7" w:rsidP="00EB2DE7">
      <w:pPr>
        <w:overflowPunct w:val="0"/>
        <w:autoSpaceDE w:val="0"/>
        <w:autoSpaceDN w:val="0"/>
        <w:adjustRightInd w:val="0"/>
        <w:textAlignment w:val="baseline"/>
        <w:rPr>
          <w:sz w:val="18"/>
          <w:szCs w:val="18"/>
        </w:rPr>
      </w:pPr>
    </w:p>
    <w:sectPr w:rsidR="00EB2DE7" w:rsidRPr="00EB2DE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151107" w14:textId="77777777" w:rsidR="00417235" w:rsidRDefault="00417235">
      <w:r>
        <w:separator/>
      </w:r>
    </w:p>
  </w:endnote>
  <w:endnote w:type="continuationSeparator" w:id="0">
    <w:p w14:paraId="226721B3" w14:textId="77777777" w:rsidR="00417235" w:rsidRDefault="00417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5A9882" w14:textId="77777777" w:rsidR="00417235" w:rsidRDefault="00417235">
      <w:r>
        <w:separator/>
      </w:r>
    </w:p>
  </w:footnote>
  <w:footnote w:type="continuationSeparator" w:id="0">
    <w:p w14:paraId="11E5B7F5" w14:textId="77777777" w:rsidR="00417235" w:rsidRDefault="00417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76458"/>
    <w:multiLevelType w:val="multilevel"/>
    <w:tmpl w:val="AA2613E6"/>
    <w:lvl w:ilvl="0">
      <w:start w:val="1"/>
      <w:numFmt w:val="bullet"/>
      <w:lvlText w:val=""/>
      <w:lvlJc w:val="left"/>
      <w:pPr>
        <w:tabs>
          <w:tab w:val="num" w:pos="290"/>
        </w:tabs>
        <w:ind w:left="290" w:hanging="360"/>
      </w:pPr>
      <w:rPr>
        <w:rFonts w:ascii="Symbol" w:hAnsi="Symbol" w:hint="default"/>
        <w:sz w:val="20"/>
      </w:rPr>
    </w:lvl>
    <w:lvl w:ilvl="1" w:tentative="1">
      <w:start w:val="1"/>
      <w:numFmt w:val="bullet"/>
      <w:lvlText w:val=""/>
      <w:lvlJc w:val="left"/>
      <w:pPr>
        <w:tabs>
          <w:tab w:val="num" w:pos="1010"/>
        </w:tabs>
        <w:ind w:left="1010" w:hanging="360"/>
      </w:pPr>
      <w:rPr>
        <w:rFonts w:ascii="Symbol" w:hAnsi="Symbol" w:hint="default"/>
        <w:sz w:val="20"/>
      </w:rPr>
    </w:lvl>
    <w:lvl w:ilvl="2" w:tentative="1">
      <w:start w:val="1"/>
      <w:numFmt w:val="bullet"/>
      <w:lvlText w:val=""/>
      <w:lvlJc w:val="left"/>
      <w:pPr>
        <w:tabs>
          <w:tab w:val="num" w:pos="1730"/>
        </w:tabs>
        <w:ind w:left="1730" w:hanging="360"/>
      </w:pPr>
      <w:rPr>
        <w:rFonts w:ascii="Symbol" w:hAnsi="Symbol" w:hint="default"/>
        <w:sz w:val="20"/>
      </w:rPr>
    </w:lvl>
    <w:lvl w:ilvl="3" w:tentative="1">
      <w:start w:val="1"/>
      <w:numFmt w:val="bullet"/>
      <w:lvlText w:val=""/>
      <w:lvlJc w:val="left"/>
      <w:pPr>
        <w:tabs>
          <w:tab w:val="num" w:pos="2450"/>
        </w:tabs>
        <w:ind w:left="2450" w:hanging="360"/>
      </w:pPr>
      <w:rPr>
        <w:rFonts w:ascii="Symbol" w:hAnsi="Symbol" w:hint="default"/>
        <w:sz w:val="20"/>
      </w:rPr>
    </w:lvl>
    <w:lvl w:ilvl="4" w:tentative="1">
      <w:start w:val="1"/>
      <w:numFmt w:val="bullet"/>
      <w:lvlText w:val=""/>
      <w:lvlJc w:val="left"/>
      <w:pPr>
        <w:tabs>
          <w:tab w:val="num" w:pos="3170"/>
        </w:tabs>
        <w:ind w:left="3170" w:hanging="360"/>
      </w:pPr>
      <w:rPr>
        <w:rFonts w:ascii="Symbol" w:hAnsi="Symbol" w:hint="default"/>
        <w:sz w:val="20"/>
      </w:rPr>
    </w:lvl>
    <w:lvl w:ilvl="5" w:tentative="1">
      <w:start w:val="1"/>
      <w:numFmt w:val="bullet"/>
      <w:lvlText w:val=""/>
      <w:lvlJc w:val="left"/>
      <w:pPr>
        <w:tabs>
          <w:tab w:val="num" w:pos="3890"/>
        </w:tabs>
        <w:ind w:left="3890" w:hanging="360"/>
      </w:pPr>
      <w:rPr>
        <w:rFonts w:ascii="Symbol" w:hAnsi="Symbol" w:hint="default"/>
        <w:sz w:val="20"/>
      </w:rPr>
    </w:lvl>
    <w:lvl w:ilvl="6" w:tentative="1">
      <w:start w:val="1"/>
      <w:numFmt w:val="bullet"/>
      <w:lvlText w:val=""/>
      <w:lvlJc w:val="left"/>
      <w:pPr>
        <w:tabs>
          <w:tab w:val="num" w:pos="4610"/>
        </w:tabs>
        <w:ind w:left="4610" w:hanging="360"/>
      </w:pPr>
      <w:rPr>
        <w:rFonts w:ascii="Symbol" w:hAnsi="Symbol" w:hint="default"/>
        <w:sz w:val="20"/>
      </w:rPr>
    </w:lvl>
    <w:lvl w:ilvl="7" w:tentative="1">
      <w:start w:val="1"/>
      <w:numFmt w:val="bullet"/>
      <w:lvlText w:val=""/>
      <w:lvlJc w:val="left"/>
      <w:pPr>
        <w:tabs>
          <w:tab w:val="num" w:pos="5330"/>
        </w:tabs>
        <w:ind w:left="5330" w:hanging="360"/>
      </w:pPr>
      <w:rPr>
        <w:rFonts w:ascii="Symbol" w:hAnsi="Symbol" w:hint="default"/>
        <w:sz w:val="20"/>
      </w:rPr>
    </w:lvl>
    <w:lvl w:ilvl="8" w:tentative="1">
      <w:start w:val="1"/>
      <w:numFmt w:val="bullet"/>
      <w:lvlText w:val=""/>
      <w:lvlJc w:val="left"/>
      <w:pPr>
        <w:tabs>
          <w:tab w:val="num" w:pos="6050"/>
        </w:tabs>
        <w:ind w:left="6050" w:hanging="360"/>
      </w:pPr>
      <w:rPr>
        <w:rFonts w:ascii="Symbol" w:hAnsi="Symbol" w:hint="default"/>
        <w:sz w:val="20"/>
      </w:rPr>
    </w:lvl>
  </w:abstractNum>
  <w:abstractNum w:abstractNumId="1" w15:restartNumberingAfterBreak="0">
    <w:nsid w:val="0479499B"/>
    <w:multiLevelType w:val="hybridMultilevel"/>
    <w:tmpl w:val="06B6D4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4"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17CA60B5"/>
    <w:multiLevelType w:val="hybridMultilevel"/>
    <w:tmpl w:val="75EC5F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9"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14E3053"/>
    <w:multiLevelType w:val="hybridMultilevel"/>
    <w:tmpl w:val="6002AC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6" w15:restartNumberingAfterBreak="0">
    <w:nsid w:val="39F36BFA"/>
    <w:multiLevelType w:val="hybridMultilevel"/>
    <w:tmpl w:val="8594E7E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2F87347"/>
    <w:multiLevelType w:val="hybridMultilevel"/>
    <w:tmpl w:val="6D50EDE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1" w15:restartNumberingAfterBreak="0">
    <w:nsid w:val="4D475873"/>
    <w:multiLevelType w:val="hybridMultilevel"/>
    <w:tmpl w:val="DD7C5AA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02F4378"/>
    <w:multiLevelType w:val="hybridMultilevel"/>
    <w:tmpl w:val="A2168E88"/>
    <w:lvl w:ilvl="0" w:tplc="7B1671AE">
      <w:start w:val="1"/>
      <w:numFmt w:val="bullet"/>
      <w:lvlText w:val="•"/>
      <w:lvlJc w:val="left"/>
      <w:pPr>
        <w:tabs>
          <w:tab w:val="num" w:pos="568"/>
        </w:tabs>
        <w:ind w:left="568" w:hanging="360"/>
      </w:pPr>
      <w:rPr>
        <w:rFonts w:ascii="Arial" w:hAnsi="Arial" w:hint="default"/>
      </w:rPr>
    </w:lvl>
    <w:lvl w:ilvl="1" w:tplc="8848D660">
      <w:numFmt w:val="none"/>
      <w:lvlText w:val=""/>
      <w:lvlJc w:val="left"/>
      <w:pPr>
        <w:tabs>
          <w:tab w:val="num" w:pos="360"/>
        </w:tabs>
      </w:pPr>
    </w:lvl>
    <w:lvl w:ilvl="2" w:tplc="A71C7F26" w:tentative="1">
      <w:start w:val="1"/>
      <w:numFmt w:val="bullet"/>
      <w:lvlText w:val="•"/>
      <w:lvlJc w:val="left"/>
      <w:pPr>
        <w:tabs>
          <w:tab w:val="num" w:pos="2008"/>
        </w:tabs>
        <w:ind w:left="2008" w:hanging="360"/>
      </w:pPr>
      <w:rPr>
        <w:rFonts w:ascii="Arial" w:hAnsi="Arial" w:hint="default"/>
      </w:rPr>
    </w:lvl>
    <w:lvl w:ilvl="3" w:tplc="4692BCEE" w:tentative="1">
      <w:start w:val="1"/>
      <w:numFmt w:val="bullet"/>
      <w:lvlText w:val="•"/>
      <w:lvlJc w:val="left"/>
      <w:pPr>
        <w:tabs>
          <w:tab w:val="num" w:pos="2728"/>
        </w:tabs>
        <w:ind w:left="2728" w:hanging="360"/>
      </w:pPr>
      <w:rPr>
        <w:rFonts w:ascii="Arial" w:hAnsi="Arial" w:hint="default"/>
      </w:rPr>
    </w:lvl>
    <w:lvl w:ilvl="4" w:tplc="A3F8FE4E" w:tentative="1">
      <w:start w:val="1"/>
      <w:numFmt w:val="bullet"/>
      <w:lvlText w:val="•"/>
      <w:lvlJc w:val="left"/>
      <w:pPr>
        <w:tabs>
          <w:tab w:val="num" w:pos="3448"/>
        </w:tabs>
        <w:ind w:left="3448" w:hanging="360"/>
      </w:pPr>
      <w:rPr>
        <w:rFonts w:ascii="Arial" w:hAnsi="Arial" w:hint="default"/>
      </w:rPr>
    </w:lvl>
    <w:lvl w:ilvl="5" w:tplc="A3CC381A" w:tentative="1">
      <w:start w:val="1"/>
      <w:numFmt w:val="bullet"/>
      <w:lvlText w:val="•"/>
      <w:lvlJc w:val="left"/>
      <w:pPr>
        <w:tabs>
          <w:tab w:val="num" w:pos="4168"/>
        </w:tabs>
        <w:ind w:left="4168" w:hanging="360"/>
      </w:pPr>
      <w:rPr>
        <w:rFonts w:ascii="Arial" w:hAnsi="Arial" w:hint="default"/>
      </w:rPr>
    </w:lvl>
    <w:lvl w:ilvl="6" w:tplc="A96AB38C" w:tentative="1">
      <w:start w:val="1"/>
      <w:numFmt w:val="bullet"/>
      <w:lvlText w:val="•"/>
      <w:lvlJc w:val="left"/>
      <w:pPr>
        <w:tabs>
          <w:tab w:val="num" w:pos="4888"/>
        </w:tabs>
        <w:ind w:left="4888" w:hanging="360"/>
      </w:pPr>
      <w:rPr>
        <w:rFonts w:ascii="Arial" w:hAnsi="Arial" w:hint="default"/>
      </w:rPr>
    </w:lvl>
    <w:lvl w:ilvl="7" w:tplc="9AAC3160" w:tentative="1">
      <w:start w:val="1"/>
      <w:numFmt w:val="bullet"/>
      <w:lvlText w:val="•"/>
      <w:lvlJc w:val="left"/>
      <w:pPr>
        <w:tabs>
          <w:tab w:val="num" w:pos="5608"/>
        </w:tabs>
        <w:ind w:left="5608" w:hanging="360"/>
      </w:pPr>
      <w:rPr>
        <w:rFonts w:ascii="Arial" w:hAnsi="Arial" w:hint="default"/>
      </w:rPr>
    </w:lvl>
    <w:lvl w:ilvl="8" w:tplc="8EFCC200" w:tentative="1">
      <w:start w:val="1"/>
      <w:numFmt w:val="bullet"/>
      <w:lvlText w:val="•"/>
      <w:lvlJc w:val="left"/>
      <w:pPr>
        <w:tabs>
          <w:tab w:val="num" w:pos="6328"/>
        </w:tabs>
        <w:ind w:left="6328" w:hanging="360"/>
      </w:pPr>
      <w:rPr>
        <w:rFonts w:ascii="Arial" w:hAnsi="Arial" w:hint="default"/>
      </w:rPr>
    </w:lvl>
  </w:abstractNum>
  <w:abstractNum w:abstractNumId="26"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649A339A"/>
    <w:multiLevelType w:val="hybridMultilevel"/>
    <w:tmpl w:val="A4AE18F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8"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29" w15:restartNumberingAfterBreak="0">
    <w:nsid w:val="6B8C3653"/>
    <w:multiLevelType w:val="hybridMultilevel"/>
    <w:tmpl w:val="971A33F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6BB41FDA"/>
    <w:multiLevelType w:val="multilevel"/>
    <w:tmpl w:val="35D8F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1"/>
  </w:num>
  <w:num w:numId="2">
    <w:abstractNumId w:val="7"/>
  </w:num>
  <w:num w:numId="3">
    <w:abstractNumId w:val="34"/>
  </w:num>
  <w:num w:numId="4">
    <w:abstractNumId w:val="2"/>
  </w:num>
  <w:num w:numId="5">
    <w:abstractNumId w:val="17"/>
  </w:num>
  <w:num w:numId="6">
    <w:abstractNumId w:val="33"/>
  </w:num>
  <w:num w:numId="7">
    <w:abstractNumId w:val="28"/>
  </w:num>
  <w:num w:numId="8">
    <w:abstractNumId w:val="24"/>
  </w:num>
  <w:num w:numId="9">
    <w:abstractNumId w:val="6"/>
  </w:num>
  <w:num w:numId="10">
    <w:abstractNumId w:val="15"/>
  </w:num>
  <w:num w:numId="11">
    <w:abstractNumId w:val="8"/>
  </w:num>
  <w:num w:numId="12">
    <w:abstractNumId w:val="11"/>
  </w:num>
  <w:num w:numId="13">
    <w:abstractNumId w:val="12"/>
  </w:num>
  <w:num w:numId="14">
    <w:abstractNumId w:val="4"/>
  </w:num>
  <w:num w:numId="15">
    <w:abstractNumId w:val="3"/>
  </w:num>
  <w:num w:numId="16">
    <w:abstractNumId w:val="26"/>
  </w:num>
  <w:num w:numId="17">
    <w:abstractNumId w:val="10"/>
  </w:num>
  <w:num w:numId="18">
    <w:abstractNumId w:val="32"/>
  </w:num>
  <w:num w:numId="19">
    <w:abstractNumId w:val="22"/>
  </w:num>
  <w:num w:numId="20">
    <w:abstractNumId w:val="20"/>
  </w:num>
  <w:num w:numId="21">
    <w:abstractNumId w:val="19"/>
  </w:num>
  <w:num w:numId="22">
    <w:abstractNumId w:val="23"/>
  </w:num>
  <w:num w:numId="23">
    <w:abstractNumId w:val="14"/>
  </w:num>
  <w:num w:numId="24">
    <w:abstractNumId w:val="29"/>
  </w:num>
  <w:num w:numId="25">
    <w:abstractNumId w:val="9"/>
  </w:num>
  <w:num w:numId="26">
    <w:abstractNumId w:val="25"/>
  </w:num>
  <w:num w:numId="27">
    <w:abstractNumId w:val="0"/>
  </w:num>
  <w:num w:numId="28">
    <w:abstractNumId w:val="30"/>
  </w:num>
  <w:num w:numId="29">
    <w:abstractNumId w:val="16"/>
  </w:num>
  <w:num w:numId="30">
    <w:abstractNumId w:val="18"/>
  </w:num>
  <w:num w:numId="31">
    <w:abstractNumId w:val="27"/>
  </w:num>
  <w:num w:numId="32">
    <w:abstractNumId w:val="21"/>
  </w:num>
  <w:num w:numId="33">
    <w:abstractNumId w:val="5"/>
  </w:num>
  <w:num w:numId="34">
    <w:abstractNumId w:val="1"/>
  </w:num>
  <w:num w:numId="3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70"/>
    <w:rsid w:val="00002099"/>
    <w:rsid w:val="000027B0"/>
    <w:rsid w:val="00007637"/>
    <w:rsid w:val="000101D5"/>
    <w:rsid w:val="00010557"/>
    <w:rsid w:val="00010C4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1F21"/>
    <w:rsid w:val="00022078"/>
    <w:rsid w:val="00022E4A"/>
    <w:rsid w:val="00023243"/>
    <w:rsid w:val="00023F11"/>
    <w:rsid w:val="0002520C"/>
    <w:rsid w:val="00025CD9"/>
    <w:rsid w:val="00025D5C"/>
    <w:rsid w:val="00025D74"/>
    <w:rsid w:val="0002639E"/>
    <w:rsid w:val="0002674F"/>
    <w:rsid w:val="000279EC"/>
    <w:rsid w:val="00027FCD"/>
    <w:rsid w:val="00030A91"/>
    <w:rsid w:val="000319F0"/>
    <w:rsid w:val="0003293D"/>
    <w:rsid w:val="00033433"/>
    <w:rsid w:val="00033920"/>
    <w:rsid w:val="00033A96"/>
    <w:rsid w:val="00033D21"/>
    <w:rsid w:val="00034BC1"/>
    <w:rsid w:val="00034F15"/>
    <w:rsid w:val="00036006"/>
    <w:rsid w:val="000362FA"/>
    <w:rsid w:val="0003643B"/>
    <w:rsid w:val="00036587"/>
    <w:rsid w:val="00036E6C"/>
    <w:rsid w:val="00037F60"/>
    <w:rsid w:val="00040DFB"/>
    <w:rsid w:val="000421D2"/>
    <w:rsid w:val="00042D8C"/>
    <w:rsid w:val="00043107"/>
    <w:rsid w:val="00043BBB"/>
    <w:rsid w:val="00044A1D"/>
    <w:rsid w:val="00044DF5"/>
    <w:rsid w:val="00045150"/>
    <w:rsid w:val="000455B9"/>
    <w:rsid w:val="000467E3"/>
    <w:rsid w:val="0004693A"/>
    <w:rsid w:val="0004704B"/>
    <w:rsid w:val="00047313"/>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928"/>
    <w:rsid w:val="00073DA3"/>
    <w:rsid w:val="00075317"/>
    <w:rsid w:val="0007541A"/>
    <w:rsid w:val="00075D1D"/>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7E7"/>
    <w:rsid w:val="00087BDE"/>
    <w:rsid w:val="00087C28"/>
    <w:rsid w:val="00090D64"/>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5A7"/>
    <w:rsid w:val="000A1EA8"/>
    <w:rsid w:val="000A2D20"/>
    <w:rsid w:val="000A40B8"/>
    <w:rsid w:val="000A4B84"/>
    <w:rsid w:val="000A5A08"/>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C008B"/>
    <w:rsid w:val="000C038A"/>
    <w:rsid w:val="000C0DA1"/>
    <w:rsid w:val="000C1825"/>
    <w:rsid w:val="000C20E6"/>
    <w:rsid w:val="000C32CF"/>
    <w:rsid w:val="000C3557"/>
    <w:rsid w:val="000C4073"/>
    <w:rsid w:val="000C4413"/>
    <w:rsid w:val="000C4870"/>
    <w:rsid w:val="000C6598"/>
    <w:rsid w:val="000C714B"/>
    <w:rsid w:val="000C7B6F"/>
    <w:rsid w:val="000D0030"/>
    <w:rsid w:val="000D0F90"/>
    <w:rsid w:val="000D1334"/>
    <w:rsid w:val="000D194C"/>
    <w:rsid w:val="000D1BAB"/>
    <w:rsid w:val="000D1F2F"/>
    <w:rsid w:val="000D22B0"/>
    <w:rsid w:val="000D35A8"/>
    <w:rsid w:val="000D3F3F"/>
    <w:rsid w:val="000D45E7"/>
    <w:rsid w:val="000D47D3"/>
    <w:rsid w:val="000D49E8"/>
    <w:rsid w:val="000D4C06"/>
    <w:rsid w:val="000D4DB1"/>
    <w:rsid w:val="000D53FA"/>
    <w:rsid w:val="000D5A61"/>
    <w:rsid w:val="000D63A5"/>
    <w:rsid w:val="000D6B3F"/>
    <w:rsid w:val="000D7911"/>
    <w:rsid w:val="000D7DE0"/>
    <w:rsid w:val="000E0A75"/>
    <w:rsid w:val="000E0E0D"/>
    <w:rsid w:val="000E2319"/>
    <w:rsid w:val="000E2999"/>
    <w:rsid w:val="000E30B4"/>
    <w:rsid w:val="000E3C50"/>
    <w:rsid w:val="000E3C71"/>
    <w:rsid w:val="000E4521"/>
    <w:rsid w:val="000E57FF"/>
    <w:rsid w:val="000E67A9"/>
    <w:rsid w:val="000F169D"/>
    <w:rsid w:val="000F19ED"/>
    <w:rsid w:val="000F22AE"/>
    <w:rsid w:val="000F2647"/>
    <w:rsid w:val="000F2656"/>
    <w:rsid w:val="000F287F"/>
    <w:rsid w:val="000F2CA4"/>
    <w:rsid w:val="000F2FF9"/>
    <w:rsid w:val="000F3E19"/>
    <w:rsid w:val="000F4598"/>
    <w:rsid w:val="000F6125"/>
    <w:rsid w:val="000F7006"/>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01A"/>
    <w:rsid w:val="001056CA"/>
    <w:rsid w:val="00105941"/>
    <w:rsid w:val="00105AF9"/>
    <w:rsid w:val="001115A8"/>
    <w:rsid w:val="00111881"/>
    <w:rsid w:val="001125AF"/>
    <w:rsid w:val="001126F4"/>
    <w:rsid w:val="00112C5D"/>
    <w:rsid w:val="00112DE1"/>
    <w:rsid w:val="00113875"/>
    <w:rsid w:val="001138A8"/>
    <w:rsid w:val="00113DA3"/>
    <w:rsid w:val="00114A94"/>
    <w:rsid w:val="00114FAB"/>
    <w:rsid w:val="00114FE3"/>
    <w:rsid w:val="001151F8"/>
    <w:rsid w:val="00115CC5"/>
    <w:rsid w:val="00116A6E"/>
    <w:rsid w:val="00116EF2"/>
    <w:rsid w:val="001204B0"/>
    <w:rsid w:val="0012101E"/>
    <w:rsid w:val="00121193"/>
    <w:rsid w:val="00122CC0"/>
    <w:rsid w:val="00122DC3"/>
    <w:rsid w:val="00125366"/>
    <w:rsid w:val="00125408"/>
    <w:rsid w:val="0012598B"/>
    <w:rsid w:val="00126681"/>
    <w:rsid w:val="001269F1"/>
    <w:rsid w:val="001274C0"/>
    <w:rsid w:val="00130702"/>
    <w:rsid w:val="001308C8"/>
    <w:rsid w:val="00130DBF"/>
    <w:rsid w:val="00131250"/>
    <w:rsid w:val="001314A3"/>
    <w:rsid w:val="001319E4"/>
    <w:rsid w:val="00131EB9"/>
    <w:rsid w:val="00132F9E"/>
    <w:rsid w:val="00133D75"/>
    <w:rsid w:val="001356A2"/>
    <w:rsid w:val="00136422"/>
    <w:rsid w:val="00136C3B"/>
    <w:rsid w:val="00136FAC"/>
    <w:rsid w:val="001403A2"/>
    <w:rsid w:val="00141163"/>
    <w:rsid w:val="00141583"/>
    <w:rsid w:val="00141A06"/>
    <w:rsid w:val="00141B59"/>
    <w:rsid w:val="00141DBE"/>
    <w:rsid w:val="0014237B"/>
    <w:rsid w:val="00142C78"/>
    <w:rsid w:val="00142CAB"/>
    <w:rsid w:val="00143422"/>
    <w:rsid w:val="00143690"/>
    <w:rsid w:val="00143D25"/>
    <w:rsid w:val="00144CE6"/>
    <w:rsid w:val="00145357"/>
    <w:rsid w:val="00145CBE"/>
    <w:rsid w:val="00145D43"/>
    <w:rsid w:val="00146326"/>
    <w:rsid w:val="0014649B"/>
    <w:rsid w:val="00146573"/>
    <w:rsid w:val="001517C7"/>
    <w:rsid w:val="001526AD"/>
    <w:rsid w:val="00153541"/>
    <w:rsid w:val="00153804"/>
    <w:rsid w:val="00153AC5"/>
    <w:rsid w:val="00153E49"/>
    <w:rsid w:val="00154118"/>
    <w:rsid w:val="00154A11"/>
    <w:rsid w:val="00154A6C"/>
    <w:rsid w:val="00154C9B"/>
    <w:rsid w:val="001554A6"/>
    <w:rsid w:val="00155753"/>
    <w:rsid w:val="00155A2E"/>
    <w:rsid w:val="0015680B"/>
    <w:rsid w:val="001610A7"/>
    <w:rsid w:val="001613DF"/>
    <w:rsid w:val="00164518"/>
    <w:rsid w:val="001645F4"/>
    <w:rsid w:val="00164A49"/>
    <w:rsid w:val="00164AC3"/>
    <w:rsid w:val="00165483"/>
    <w:rsid w:val="00165506"/>
    <w:rsid w:val="0016606A"/>
    <w:rsid w:val="00166432"/>
    <w:rsid w:val="001671E7"/>
    <w:rsid w:val="001672C5"/>
    <w:rsid w:val="00167BAA"/>
    <w:rsid w:val="00170276"/>
    <w:rsid w:val="0017049E"/>
    <w:rsid w:val="00170813"/>
    <w:rsid w:val="00170ABE"/>
    <w:rsid w:val="001710A2"/>
    <w:rsid w:val="00171339"/>
    <w:rsid w:val="00171FCF"/>
    <w:rsid w:val="00173053"/>
    <w:rsid w:val="001733B8"/>
    <w:rsid w:val="001741DF"/>
    <w:rsid w:val="001766AD"/>
    <w:rsid w:val="00176E80"/>
    <w:rsid w:val="001772CF"/>
    <w:rsid w:val="00177BF7"/>
    <w:rsid w:val="001800C0"/>
    <w:rsid w:val="001808A4"/>
    <w:rsid w:val="0018133F"/>
    <w:rsid w:val="00182A49"/>
    <w:rsid w:val="00183017"/>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973FB"/>
    <w:rsid w:val="001A0007"/>
    <w:rsid w:val="001A0C1E"/>
    <w:rsid w:val="001A16E4"/>
    <w:rsid w:val="001A1D4E"/>
    <w:rsid w:val="001A2589"/>
    <w:rsid w:val="001A29A5"/>
    <w:rsid w:val="001A2A37"/>
    <w:rsid w:val="001A4C19"/>
    <w:rsid w:val="001A4DAC"/>
    <w:rsid w:val="001A51F1"/>
    <w:rsid w:val="001A67AF"/>
    <w:rsid w:val="001A6804"/>
    <w:rsid w:val="001A740D"/>
    <w:rsid w:val="001A77E2"/>
    <w:rsid w:val="001A7B60"/>
    <w:rsid w:val="001B0115"/>
    <w:rsid w:val="001B0C5F"/>
    <w:rsid w:val="001B15E0"/>
    <w:rsid w:val="001B1698"/>
    <w:rsid w:val="001B27D9"/>
    <w:rsid w:val="001B285A"/>
    <w:rsid w:val="001B3363"/>
    <w:rsid w:val="001B3451"/>
    <w:rsid w:val="001B3BA3"/>
    <w:rsid w:val="001B3C1C"/>
    <w:rsid w:val="001B41C7"/>
    <w:rsid w:val="001B591A"/>
    <w:rsid w:val="001B5E4B"/>
    <w:rsid w:val="001B5FCD"/>
    <w:rsid w:val="001B66C2"/>
    <w:rsid w:val="001B7A65"/>
    <w:rsid w:val="001B7B82"/>
    <w:rsid w:val="001C13E2"/>
    <w:rsid w:val="001C1D0D"/>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BE8"/>
    <w:rsid w:val="001E6F15"/>
    <w:rsid w:val="001E71FA"/>
    <w:rsid w:val="001F02BB"/>
    <w:rsid w:val="001F05B3"/>
    <w:rsid w:val="001F05E0"/>
    <w:rsid w:val="001F185B"/>
    <w:rsid w:val="001F1DC8"/>
    <w:rsid w:val="001F20F7"/>
    <w:rsid w:val="001F24BD"/>
    <w:rsid w:val="001F2900"/>
    <w:rsid w:val="001F2DAB"/>
    <w:rsid w:val="001F2F3B"/>
    <w:rsid w:val="001F4799"/>
    <w:rsid w:val="001F4B52"/>
    <w:rsid w:val="001F52C3"/>
    <w:rsid w:val="001F61E1"/>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8B8"/>
    <w:rsid w:val="00206ACD"/>
    <w:rsid w:val="00206F7B"/>
    <w:rsid w:val="00207076"/>
    <w:rsid w:val="00207B65"/>
    <w:rsid w:val="00207BEF"/>
    <w:rsid w:val="00207EF2"/>
    <w:rsid w:val="00210244"/>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5F04"/>
    <w:rsid w:val="0022788F"/>
    <w:rsid w:val="00227F9C"/>
    <w:rsid w:val="00232834"/>
    <w:rsid w:val="00232C37"/>
    <w:rsid w:val="002356C8"/>
    <w:rsid w:val="00235D6D"/>
    <w:rsid w:val="00236799"/>
    <w:rsid w:val="002376D0"/>
    <w:rsid w:val="00241961"/>
    <w:rsid w:val="00242EB3"/>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4054"/>
    <w:rsid w:val="0025582C"/>
    <w:rsid w:val="00255DC4"/>
    <w:rsid w:val="00255F58"/>
    <w:rsid w:val="00255FF0"/>
    <w:rsid w:val="0025632B"/>
    <w:rsid w:val="00257768"/>
    <w:rsid w:val="0026004D"/>
    <w:rsid w:val="00261347"/>
    <w:rsid w:val="00261A22"/>
    <w:rsid w:val="00261E34"/>
    <w:rsid w:val="00262029"/>
    <w:rsid w:val="002630E0"/>
    <w:rsid w:val="00263B86"/>
    <w:rsid w:val="0026419E"/>
    <w:rsid w:val="00264DDF"/>
    <w:rsid w:val="00265B9B"/>
    <w:rsid w:val="00265D7A"/>
    <w:rsid w:val="00266652"/>
    <w:rsid w:val="00266990"/>
    <w:rsid w:val="00267363"/>
    <w:rsid w:val="002674A6"/>
    <w:rsid w:val="00270A44"/>
    <w:rsid w:val="0027229B"/>
    <w:rsid w:val="00272662"/>
    <w:rsid w:val="00273288"/>
    <w:rsid w:val="00274435"/>
    <w:rsid w:val="00274751"/>
    <w:rsid w:val="00275D12"/>
    <w:rsid w:val="00275EDA"/>
    <w:rsid w:val="00275EFC"/>
    <w:rsid w:val="00275F52"/>
    <w:rsid w:val="00276181"/>
    <w:rsid w:val="00276FB3"/>
    <w:rsid w:val="00277B44"/>
    <w:rsid w:val="00280AA1"/>
    <w:rsid w:val="00281CD8"/>
    <w:rsid w:val="00281D97"/>
    <w:rsid w:val="00282302"/>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937"/>
    <w:rsid w:val="00295F0A"/>
    <w:rsid w:val="002979E8"/>
    <w:rsid w:val="002979F7"/>
    <w:rsid w:val="002A0057"/>
    <w:rsid w:val="002A077F"/>
    <w:rsid w:val="002A10DA"/>
    <w:rsid w:val="002A12FB"/>
    <w:rsid w:val="002A192B"/>
    <w:rsid w:val="002A221E"/>
    <w:rsid w:val="002A2C1F"/>
    <w:rsid w:val="002A45BA"/>
    <w:rsid w:val="002A4BB7"/>
    <w:rsid w:val="002A4D8B"/>
    <w:rsid w:val="002A58B8"/>
    <w:rsid w:val="002A592B"/>
    <w:rsid w:val="002A622E"/>
    <w:rsid w:val="002A6B19"/>
    <w:rsid w:val="002A6D98"/>
    <w:rsid w:val="002A7849"/>
    <w:rsid w:val="002A7D18"/>
    <w:rsid w:val="002B0C57"/>
    <w:rsid w:val="002B0EB5"/>
    <w:rsid w:val="002B12F7"/>
    <w:rsid w:val="002B2847"/>
    <w:rsid w:val="002B314A"/>
    <w:rsid w:val="002B37A3"/>
    <w:rsid w:val="002B3E63"/>
    <w:rsid w:val="002B4334"/>
    <w:rsid w:val="002B4538"/>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91A"/>
    <w:rsid w:val="002D231B"/>
    <w:rsid w:val="002D2C6D"/>
    <w:rsid w:val="002D3E0E"/>
    <w:rsid w:val="002D3F64"/>
    <w:rsid w:val="002D447B"/>
    <w:rsid w:val="002D502E"/>
    <w:rsid w:val="002D5098"/>
    <w:rsid w:val="002D6025"/>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CF4"/>
    <w:rsid w:val="002F6DA9"/>
    <w:rsid w:val="002F7AAA"/>
    <w:rsid w:val="00300B42"/>
    <w:rsid w:val="00301188"/>
    <w:rsid w:val="003013B8"/>
    <w:rsid w:val="00301963"/>
    <w:rsid w:val="00301C0F"/>
    <w:rsid w:val="00301CF0"/>
    <w:rsid w:val="00302A2C"/>
    <w:rsid w:val="00302E56"/>
    <w:rsid w:val="003030DC"/>
    <w:rsid w:val="003039DA"/>
    <w:rsid w:val="00303C0A"/>
    <w:rsid w:val="003052E9"/>
    <w:rsid w:val="00305409"/>
    <w:rsid w:val="003059E3"/>
    <w:rsid w:val="0030790D"/>
    <w:rsid w:val="00307CA4"/>
    <w:rsid w:val="00310823"/>
    <w:rsid w:val="00310A36"/>
    <w:rsid w:val="00312007"/>
    <w:rsid w:val="00312DFD"/>
    <w:rsid w:val="00312F47"/>
    <w:rsid w:val="00313B48"/>
    <w:rsid w:val="00314CCB"/>
    <w:rsid w:val="00314DB3"/>
    <w:rsid w:val="00316ADC"/>
    <w:rsid w:val="00316D63"/>
    <w:rsid w:val="00317912"/>
    <w:rsid w:val="0032110B"/>
    <w:rsid w:val="00321A0E"/>
    <w:rsid w:val="00321E67"/>
    <w:rsid w:val="003230F1"/>
    <w:rsid w:val="0032312C"/>
    <w:rsid w:val="0032441B"/>
    <w:rsid w:val="003244D1"/>
    <w:rsid w:val="00324CDB"/>
    <w:rsid w:val="00326021"/>
    <w:rsid w:val="00327138"/>
    <w:rsid w:val="00331841"/>
    <w:rsid w:val="003324E0"/>
    <w:rsid w:val="00332928"/>
    <w:rsid w:val="0033463A"/>
    <w:rsid w:val="003350E5"/>
    <w:rsid w:val="00336875"/>
    <w:rsid w:val="00337988"/>
    <w:rsid w:val="00340BF6"/>
    <w:rsid w:val="00341121"/>
    <w:rsid w:val="00341B75"/>
    <w:rsid w:val="00343796"/>
    <w:rsid w:val="00343C53"/>
    <w:rsid w:val="0034523B"/>
    <w:rsid w:val="003466AD"/>
    <w:rsid w:val="00347054"/>
    <w:rsid w:val="00347873"/>
    <w:rsid w:val="00347EB2"/>
    <w:rsid w:val="00350F38"/>
    <w:rsid w:val="0035274B"/>
    <w:rsid w:val="003527CF"/>
    <w:rsid w:val="003536C1"/>
    <w:rsid w:val="0035635D"/>
    <w:rsid w:val="003563DC"/>
    <w:rsid w:val="00356899"/>
    <w:rsid w:val="00356BA0"/>
    <w:rsid w:val="0035760F"/>
    <w:rsid w:val="003606FF"/>
    <w:rsid w:val="00360CD0"/>
    <w:rsid w:val="00361C5D"/>
    <w:rsid w:val="00362568"/>
    <w:rsid w:val="00362738"/>
    <w:rsid w:val="00363F28"/>
    <w:rsid w:val="00364262"/>
    <w:rsid w:val="003645D7"/>
    <w:rsid w:val="0036497A"/>
    <w:rsid w:val="00364F60"/>
    <w:rsid w:val="00365324"/>
    <w:rsid w:val="00365676"/>
    <w:rsid w:val="00367644"/>
    <w:rsid w:val="003678BD"/>
    <w:rsid w:val="003707D3"/>
    <w:rsid w:val="00372D8C"/>
    <w:rsid w:val="00373587"/>
    <w:rsid w:val="003735BE"/>
    <w:rsid w:val="00373807"/>
    <w:rsid w:val="003739E3"/>
    <w:rsid w:val="003745C3"/>
    <w:rsid w:val="00375141"/>
    <w:rsid w:val="00375852"/>
    <w:rsid w:val="00375E93"/>
    <w:rsid w:val="0037698A"/>
    <w:rsid w:val="003801B7"/>
    <w:rsid w:val="00380683"/>
    <w:rsid w:val="003807D7"/>
    <w:rsid w:val="003807FC"/>
    <w:rsid w:val="00380E2C"/>
    <w:rsid w:val="003810CA"/>
    <w:rsid w:val="003814E5"/>
    <w:rsid w:val="00381B4C"/>
    <w:rsid w:val="00383031"/>
    <w:rsid w:val="00383123"/>
    <w:rsid w:val="00383682"/>
    <w:rsid w:val="00383A43"/>
    <w:rsid w:val="00383DA1"/>
    <w:rsid w:val="00383DBB"/>
    <w:rsid w:val="00383FDE"/>
    <w:rsid w:val="00384511"/>
    <w:rsid w:val="00385BB6"/>
    <w:rsid w:val="00385BF6"/>
    <w:rsid w:val="003860F6"/>
    <w:rsid w:val="00386A4B"/>
    <w:rsid w:val="003905F3"/>
    <w:rsid w:val="003917CB"/>
    <w:rsid w:val="003926AA"/>
    <w:rsid w:val="003948E8"/>
    <w:rsid w:val="003957EE"/>
    <w:rsid w:val="00396C61"/>
    <w:rsid w:val="0039791D"/>
    <w:rsid w:val="003A004F"/>
    <w:rsid w:val="003A1C0C"/>
    <w:rsid w:val="003A1CE2"/>
    <w:rsid w:val="003A1D35"/>
    <w:rsid w:val="003A2119"/>
    <w:rsid w:val="003A2642"/>
    <w:rsid w:val="003A2B0C"/>
    <w:rsid w:val="003A30C5"/>
    <w:rsid w:val="003A4052"/>
    <w:rsid w:val="003A4085"/>
    <w:rsid w:val="003A4A87"/>
    <w:rsid w:val="003A4C43"/>
    <w:rsid w:val="003A4ECC"/>
    <w:rsid w:val="003A4F1C"/>
    <w:rsid w:val="003A5098"/>
    <w:rsid w:val="003A581E"/>
    <w:rsid w:val="003B01AB"/>
    <w:rsid w:val="003B02AC"/>
    <w:rsid w:val="003B06ED"/>
    <w:rsid w:val="003B07C4"/>
    <w:rsid w:val="003B20F8"/>
    <w:rsid w:val="003B2209"/>
    <w:rsid w:val="003B27A7"/>
    <w:rsid w:val="003B360F"/>
    <w:rsid w:val="003B374F"/>
    <w:rsid w:val="003B3BF5"/>
    <w:rsid w:val="003B713D"/>
    <w:rsid w:val="003B7D7E"/>
    <w:rsid w:val="003C11F5"/>
    <w:rsid w:val="003C1705"/>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759"/>
    <w:rsid w:val="003D103F"/>
    <w:rsid w:val="003D28DD"/>
    <w:rsid w:val="003D2EE8"/>
    <w:rsid w:val="003D2F71"/>
    <w:rsid w:val="003D3570"/>
    <w:rsid w:val="003D36E6"/>
    <w:rsid w:val="003D4986"/>
    <w:rsid w:val="003D54FA"/>
    <w:rsid w:val="003D5B65"/>
    <w:rsid w:val="003D6541"/>
    <w:rsid w:val="003D66EB"/>
    <w:rsid w:val="003D6838"/>
    <w:rsid w:val="003D716B"/>
    <w:rsid w:val="003E0222"/>
    <w:rsid w:val="003E0E5A"/>
    <w:rsid w:val="003E1244"/>
    <w:rsid w:val="003E149A"/>
    <w:rsid w:val="003E1A36"/>
    <w:rsid w:val="003E1AF7"/>
    <w:rsid w:val="003E22F9"/>
    <w:rsid w:val="003E316D"/>
    <w:rsid w:val="003E34C7"/>
    <w:rsid w:val="003E3DD4"/>
    <w:rsid w:val="003E471D"/>
    <w:rsid w:val="003E5D3B"/>
    <w:rsid w:val="003E6EB4"/>
    <w:rsid w:val="003E705F"/>
    <w:rsid w:val="003E7A13"/>
    <w:rsid w:val="003F06FD"/>
    <w:rsid w:val="003F0BB2"/>
    <w:rsid w:val="003F1537"/>
    <w:rsid w:val="003F1645"/>
    <w:rsid w:val="003F18E2"/>
    <w:rsid w:val="003F2400"/>
    <w:rsid w:val="003F31F2"/>
    <w:rsid w:val="003F32C7"/>
    <w:rsid w:val="003F3B11"/>
    <w:rsid w:val="003F3F58"/>
    <w:rsid w:val="003F51D6"/>
    <w:rsid w:val="003F62C6"/>
    <w:rsid w:val="003F6800"/>
    <w:rsid w:val="003F69B0"/>
    <w:rsid w:val="0040016B"/>
    <w:rsid w:val="004011D8"/>
    <w:rsid w:val="0040163E"/>
    <w:rsid w:val="004037E8"/>
    <w:rsid w:val="004040A8"/>
    <w:rsid w:val="004041C4"/>
    <w:rsid w:val="00407056"/>
    <w:rsid w:val="004109D2"/>
    <w:rsid w:val="00410BE5"/>
    <w:rsid w:val="00410C28"/>
    <w:rsid w:val="00410D44"/>
    <w:rsid w:val="00411BE0"/>
    <w:rsid w:val="00411CE0"/>
    <w:rsid w:val="004120C1"/>
    <w:rsid w:val="0041219E"/>
    <w:rsid w:val="00412DDE"/>
    <w:rsid w:val="004134B3"/>
    <w:rsid w:val="00413F7E"/>
    <w:rsid w:val="004151BD"/>
    <w:rsid w:val="004162C3"/>
    <w:rsid w:val="00416EFC"/>
    <w:rsid w:val="00416F7B"/>
    <w:rsid w:val="0041701C"/>
    <w:rsid w:val="00417235"/>
    <w:rsid w:val="00420051"/>
    <w:rsid w:val="00420C31"/>
    <w:rsid w:val="00422350"/>
    <w:rsid w:val="00422F72"/>
    <w:rsid w:val="0042343D"/>
    <w:rsid w:val="0042414F"/>
    <w:rsid w:val="004242F1"/>
    <w:rsid w:val="0042487B"/>
    <w:rsid w:val="00426A9A"/>
    <w:rsid w:val="0042747D"/>
    <w:rsid w:val="00427C49"/>
    <w:rsid w:val="004300A0"/>
    <w:rsid w:val="00430AAA"/>
    <w:rsid w:val="00430CE9"/>
    <w:rsid w:val="004315EE"/>
    <w:rsid w:val="00431E13"/>
    <w:rsid w:val="004323CD"/>
    <w:rsid w:val="00432A6B"/>
    <w:rsid w:val="00432F7A"/>
    <w:rsid w:val="00433484"/>
    <w:rsid w:val="0043357A"/>
    <w:rsid w:val="004339F7"/>
    <w:rsid w:val="00434B77"/>
    <w:rsid w:val="0043544E"/>
    <w:rsid w:val="00435CB4"/>
    <w:rsid w:val="00436371"/>
    <w:rsid w:val="00436A9F"/>
    <w:rsid w:val="004371BA"/>
    <w:rsid w:val="00437331"/>
    <w:rsid w:val="004376EF"/>
    <w:rsid w:val="0044026A"/>
    <w:rsid w:val="004406DB"/>
    <w:rsid w:val="004407BE"/>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60F"/>
    <w:rsid w:val="00454ABC"/>
    <w:rsid w:val="00454CCC"/>
    <w:rsid w:val="00455190"/>
    <w:rsid w:val="00455328"/>
    <w:rsid w:val="0045547E"/>
    <w:rsid w:val="00455B43"/>
    <w:rsid w:val="0045787F"/>
    <w:rsid w:val="00457CBC"/>
    <w:rsid w:val="00460590"/>
    <w:rsid w:val="00460981"/>
    <w:rsid w:val="00460D1A"/>
    <w:rsid w:val="00461B73"/>
    <w:rsid w:val="00462619"/>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011"/>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28CA"/>
    <w:rsid w:val="004934A2"/>
    <w:rsid w:val="004936FE"/>
    <w:rsid w:val="004948D4"/>
    <w:rsid w:val="004951C6"/>
    <w:rsid w:val="0049552D"/>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82A"/>
    <w:rsid w:val="004B49FD"/>
    <w:rsid w:val="004B4FE2"/>
    <w:rsid w:val="004B5B03"/>
    <w:rsid w:val="004B64E0"/>
    <w:rsid w:val="004B748A"/>
    <w:rsid w:val="004B75B7"/>
    <w:rsid w:val="004B7F14"/>
    <w:rsid w:val="004C0356"/>
    <w:rsid w:val="004C16D7"/>
    <w:rsid w:val="004C1BE2"/>
    <w:rsid w:val="004C1D54"/>
    <w:rsid w:val="004C2AA5"/>
    <w:rsid w:val="004C2AF8"/>
    <w:rsid w:val="004C35DE"/>
    <w:rsid w:val="004C3677"/>
    <w:rsid w:val="004C4E81"/>
    <w:rsid w:val="004C5188"/>
    <w:rsid w:val="004C5332"/>
    <w:rsid w:val="004C6CA9"/>
    <w:rsid w:val="004D0F63"/>
    <w:rsid w:val="004D0FE6"/>
    <w:rsid w:val="004D1AD3"/>
    <w:rsid w:val="004D218B"/>
    <w:rsid w:val="004D2A8A"/>
    <w:rsid w:val="004D2DDB"/>
    <w:rsid w:val="004D45F1"/>
    <w:rsid w:val="004D4CFF"/>
    <w:rsid w:val="004D50F4"/>
    <w:rsid w:val="004D59A5"/>
    <w:rsid w:val="004D68F9"/>
    <w:rsid w:val="004E01DA"/>
    <w:rsid w:val="004E0E63"/>
    <w:rsid w:val="004E1161"/>
    <w:rsid w:val="004E143A"/>
    <w:rsid w:val="004E1D17"/>
    <w:rsid w:val="004E290D"/>
    <w:rsid w:val="004E2C5A"/>
    <w:rsid w:val="004E3029"/>
    <w:rsid w:val="004E3244"/>
    <w:rsid w:val="004E3465"/>
    <w:rsid w:val="004E35E1"/>
    <w:rsid w:val="004E45CE"/>
    <w:rsid w:val="004E537A"/>
    <w:rsid w:val="004E57C6"/>
    <w:rsid w:val="004E5EA6"/>
    <w:rsid w:val="004E6E42"/>
    <w:rsid w:val="004E7520"/>
    <w:rsid w:val="004F0371"/>
    <w:rsid w:val="004F0400"/>
    <w:rsid w:val="004F1436"/>
    <w:rsid w:val="004F191F"/>
    <w:rsid w:val="004F1A59"/>
    <w:rsid w:val="004F1F01"/>
    <w:rsid w:val="004F3748"/>
    <w:rsid w:val="004F3CCF"/>
    <w:rsid w:val="004F4AAA"/>
    <w:rsid w:val="004F5851"/>
    <w:rsid w:val="004F61F5"/>
    <w:rsid w:val="004F762E"/>
    <w:rsid w:val="00500308"/>
    <w:rsid w:val="0050069B"/>
    <w:rsid w:val="00500BE1"/>
    <w:rsid w:val="00502095"/>
    <w:rsid w:val="005020BE"/>
    <w:rsid w:val="00504CAE"/>
    <w:rsid w:val="00504FEB"/>
    <w:rsid w:val="00505999"/>
    <w:rsid w:val="00506C4B"/>
    <w:rsid w:val="0050749F"/>
    <w:rsid w:val="005076BB"/>
    <w:rsid w:val="00507A5C"/>
    <w:rsid w:val="005105B3"/>
    <w:rsid w:val="0051081A"/>
    <w:rsid w:val="00510914"/>
    <w:rsid w:val="00510BAE"/>
    <w:rsid w:val="00511803"/>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698"/>
    <w:rsid w:val="00530F77"/>
    <w:rsid w:val="00532337"/>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62C"/>
    <w:rsid w:val="005458D3"/>
    <w:rsid w:val="00550C81"/>
    <w:rsid w:val="00550C9D"/>
    <w:rsid w:val="0055128E"/>
    <w:rsid w:val="0055142B"/>
    <w:rsid w:val="005517F3"/>
    <w:rsid w:val="00551863"/>
    <w:rsid w:val="0055344D"/>
    <w:rsid w:val="00553F9C"/>
    <w:rsid w:val="00554698"/>
    <w:rsid w:val="0055478F"/>
    <w:rsid w:val="0055506E"/>
    <w:rsid w:val="005552C0"/>
    <w:rsid w:val="005568E9"/>
    <w:rsid w:val="005569B1"/>
    <w:rsid w:val="00556E5D"/>
    <w:rsid w:val="00557070"/>
    <w:rsid w:val="00557A7D"/>
    <w:rsid w:val="00560151"/>
    <w:rsid w:val="00560801"/>
    <w:rsid w:val="00561467"/>
    <w:rsid w:val="00561870"/>
    <w:rsid w:val="005620D7"/>
    <w:rsid w:val="00562843"/>
    <w:rsid w:val="005634BD"/>
    <w:rsid w:val="00563D58"/>
    <w:rsid w:val="00565063"/>
    <w:rsid w:val="00565333"/>
    <w:rsid w:val="005659E7"/>
    <w:rsid w:val="00565D55"/>
    <w:rsid w:val="005677DD"/>
    <w:rsid w:val="0057083A"/>
    <w:rsid w:val="0057094C"/>
    <w:rsid w:val="00571884"/>
    <w:rsid w:val="005726F5"/>
    <w:rsid w:val="005729F7"/>
    <w:rsid w:val="005740DE"/>
    <w:rsid w:val="00575A75"/>
    <w:rsid w:val="00575B9B"/>
    <w:rsid w:val="00575E27"/>
    <w:rsid w:val="0057650D"/>
    <w:rsid w:val="00576591"/>
    <w:rsid w:val="0057703E"/>
    <w:rsid w:val="00577B04"/>
    <w:rsid w:val="005801A8"/>
    <w:rsid w:val="00580AD3"/>
    <w:rsid w:val="0058231F"/>
    <w:rsid w:val="00582BF8"/>
    <w:rsid w:val="00582C2D"/>
    <w:rsid w:val="0058338F"/>
    <w:rsid w:val="005833C2"/>
    <w:rsid w:val="00583E33"/>
    <w:rsid w:val="005842EC"/>
    <w:rsid w:val="005846E0"/>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3574"/>
    <w:rsid w:val="005A361B"/>
    <w:rsid w:val="005A3FDA"/>
    <w:rsid w:val="005A57E4"/>
    <w:rsid w:val="005A5BCD"/>
    <w:rsid w:val="005A6244"/>
    <w:rsid w:val="005A67CF"/>
    <w:rsid w:val="005A6BB0"/>
    <w:rsid w:val="005A75C4"/>
    <w:rsid w:val="005A76D1"/>
    <w:rsid w:val="005A79D8"/>
    <w:rsid w:val="005B0B61"/>
    <w:rsid w:val="005B2778"/>
    <w:rsid w:val="005B2C57"/>
    <w:rsid w:val="005B383F"/>
    <w:rsid w:val="005B4372"/>
    <w:rsid w:val="005B4917"/>
    <w:rsid w:val="005B5717"/>
    <w:rsid w:val="005B5FC2"/>
    <w:rsid w:val="005B70B1"/>
    <w:rsid w:val="005B782B"/>
    <w:rsid w:val="005B7E44"/>
    <w:rsid w:val="005C076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ED2"/>
    <w:rsid w:val="005D3FD0"/>
    <w:rsid w:val="005D4882"/>
    <w:rsid w:val="005D4CEA"/>
    <w:rsid w:val="005D4D5C"/>
    <w:rsid w:val="005D538D"/>
    <w:rsid w:val="005D5D90"/>
    <w:rsid w:val="005D639B"/>
    <w:rsid w:val="005D68AD"/>
    <w:rsid w:val="005D7266"/>
    <w:rsid w:val="005D7669"/>
    <w:rsid w:val="005D7D85"/>
    <w:rsid w:val="005E1838"/>
    <w:rsid w:val="005E1DEB"/>
    <w:rsid w:val="005E2413"/>
    <w:rsid w:val="005E25E0"/>
    <w:rsid w:val="005E2715"/>
    <w:rsid w:val="005E2C44"/>
    <w:rsid w:val="005E3418"/>
    <w:rsid w:val="005E3493"/>
    <w:rsid w:val="005E390D"/>
    <w:rsid w:val="005E4DCC"/>
    <w:rsid w:val="005E57B7"/>
    <w:rsid w:val="005E68D3"/>
    <w:rsid w:val="005E6F86"/>
    <w:rsid w:val="005E72EE"/>
    <w:rsid w:val="005E7440"/>
    <w:rsid w:val="005E75F4"/>
    <w:rsid w:val="005F01AF"/>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4DB0"/>
    <w:rsid w:val="006061CE"/>
    <w:rsid w:val="00607408"/>
    <w:rsid w:val="00607835"/>
    <w:rsid w:val="006078CC"/>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19E"/>
    <w:rsid w:val="00623F19"/>
    <w:rsid w:val="006257ED"/>
    <w:rsid w:val="00627128"/>
    <w:rsid w:val="00627F33"/>
    <w:rsid w:val="00630479"/>
    <w:rsid w:val="00630D50"/>
    <w:rsid w:val="00631943"/>
    <w:rsid w:val="006336F2"/>
    <w:rsid w:val="0063439C"/>
    <w:rsid w:val="00635038"/>
    <w:rsid w:val="00635815"/>
    <w:rsid w:val="00635C5D"/>
    <w:rsid w:val="0063649F"/>
    <w:rsid w:val="00636F27"/>
    <w:rsid w:val="00637BB3"/>
    <w:rsid w:val="00640C01"/>
    <w:rsid w:val="0064151D"/>
    <w:rsid w:val="0064251E"/>
    <w:rsid w:val="0064384A"/>
    <w:rsid w:val="00643A2A"/>
    <w:rsid w:val="0064472F"/>
    <w:rsid w:val="00645485"/>
    <w:rsid w:val="00645750"/>
    <w:rsid w:val="0064607F"/>
    <w:rsid w:val="006464D9"/>
    <w:rsid w:val="006479E9"/>
    <w:rsid w:val="0065006A"/>
    <w:rsid w:val="00650A9D"/>
    <w:rsid w:val="00650AEF"/>
    <w:rsid w:val="006512A1"/>
    <w:rsid w:val="00651523"/>
    <w:rsid w:val="00651837"/>
    <w:rsid w:val="00651892"/>
    <w:rsid w:val="00651A4B"/>
    <w:rsid w:val="00651B8F"/>
    <w:rsid w:val="00652555"/>
    <w:rsid w:val="00652581"/>
    <w:rsid w:val="006535C9"/>
    <w:rsid w:val="00654A9B"/>
    <w:rsid w:val="00656CCB"/>
    <w:rsid w:val="0065731B"/>
    <w:rsid w:val="00657C80"/>
    <w:rsid w:val="00660BBB"/>
    <w:rsid w:val="00661091"/>
    <w:rsid w:val="00661BF5"/>
    <w:rsid w:val="00662DE9"/>
    <w:rsid w:val="00663D18"/>
    <w:rsid w:val="00663D21"/>
    <w:rsid w:val="00663E2B"/>
    <w:rsid w:val="00663FAB"/>
    <w:rsid w:val="00665A12"/>
    <w:rsid w:val="006663D5"/>
    <w:rsid w:val="00666D1D"/>
    <w:rsid w:val="00667010"/>
    <w:rsid w:val="00667188"/>
    <w:rsid w:val="00670498"/>
    <w:rsid w:val="0067096B"/>
    <w:rsid w:val="00670F20"/>
    <w:rsid w:val="00671E1D"/>
    <w:rsid w:val="00671EB8"/>
    <w:rsid w:val="006738C3"/>
    <w:rsid w:val="00674233"/>
    <w:rsid w:val="00675462"/>
    <w:rsid w:val="00675EB0"/>
    <w:rsid w:val="00675FB0"/>
    <w:rsid w:val="0067659A"/>
    <w:rsid w:val="00677D04"/>
    <w:rsid w:val="00677DD1"/>
    <w:rsid w:val="00681593"/>
    <w:rsid w:val="00681AC4"/>
    <w:rsid w:val="00682C60"/>
    <w:rsid w:val="00683126"/>
    <w:rsid w:val="00683937"/>
    <w:rsid w:val="006849CE"/>
    <w:rsid w:val="006850E9"/>
    <w:rsid w:val="006851E9"/>
    <w:rsid w:val="00685721"/>
    <w:rsid w:val="00686896"/>
    <w:rsid w:val="006879AF"/>
    <w:rsid w:val="00690236"/>
    <w:rsid w:val="006907A4"/>
    <w:rsid w:val="00690DF0"/>
    <w:rsid w:val="0069370B"/>
    <w:rsid w:val="00694755"/>
    <w:rsid w:val="00694D79"/>
    <w:rsid w:val="00695056"/>
    <w:rsid w:val="00695237"/>
    <w:rsid w:val="00695808"/>
    <w:rsid w:val="00696791"/>
    <w:rsid w:val="00696F36"/>
    <w:rsid w:val="006A0792"/>
    <w:rsid w:val="006A0E79"/>
    <w:rsid w:val="006A1707"/>
    <w:rsid w:val="006A1F9C"/>
    <w:rsid w:val="006A2808"/>
    <w:rsid w:val="006A2819"/>
    <w:rsid w:val="006A29D3"/>
    <w:rsid w:val="006A477D"/>
    <w:rsid w:val="006A6D08"/>
    <w:rsid w:val="006A788D"/>
    <w:rsid w:val="006B1456"/>
    <w:rsid w:val="006B2C94"/>
    <w:rsid w:val="006B30C2"/>
    <w:rsid w:val="006B31EC"/>
    <w:rsid w:val="006B46FB"/>
    <w:rsid w:val="006B47B9"/>
    <w:rsid w:val="006B48A9"/>
    <w:rsid w:val="006B5703"/>
    <w:rsid w:val="006B590C"/>
    <w:rsid w:val="006B6C9E"/>
    <w:rsid w:val="006B789E"/>
    <w:rsid w:val="006C009A"/>
    <w:rsid w:val="006C0D06"/>
    <w:rsid w:val="006C11BB"/>
    <w:rsid w:val="006C15E6"/>
    <w:rsid w:val="006C16B9"/>
    <w:rsid w:val="006C2272"/>
    <w:rsid w:val="006C2B34"/>
    <w:rsid w:val="006C3742"/>
    <w:rsid w:val="006C3854"/>
    <w:rsid w:val="006C3955"/>
    <w:rsid w:val="006C47E7"/>
    <w:rsid w:val="006C60F5"/>
    <w:rsid w:val="006C715A"/>
    <w:rsid w:val="006D01D3"/>
    <w:rsid w:val="006D1C90"/>
    <w:rsid w:val="006D270B"/>
    <w:rsid w:val="006D306E"/>
    <w:rsid w:val="006D3A6D"/>
    <w:rsid w:val="006D3EBB"/>
    <w:rsid w:val="006D5730"/>
    <w:rsid w:val="006D633E"/>
    <w:rsid w:val="006D6BE3"/>
    <w:rsid w:val="006D70D0"/>
    <w:rsid w:val="006D7A12"/>
    <w:rsid w:val="006E0C2C"/>
    <w:rsid w:val="006E0F73"/>
    <w:rsid w:val="006E17FB"/>
    <w:rsid w:val="006E1F56"/>
    <w:rsid w:val="006E21FB"/>
    <w:rsid w:val="006E2764"/>
    <w:rsid w:val="006E39ED"/>
    <w:rsid w:val="006E3F87"/>
    <w:rsid w:val="006E5328"/>
    <w:rsid w:val="006E599A"/>
    <w:rsid w:val="006E5D48"/>
    <w:rsid w:val="006E64C3"/>
    <w:rsid w:val="006E65E2"/>
    <w:rsid w:val="006E70F8"/>
    <w:rsid w:val="006E73C4"/>
    <w:rsid w:val="006E78AB"/>
    <w:rsid w:val="006E7F3B"/>
    <w:rsid w:val="006F092E"/>
    <w:rsid w:val="006F173E"/>
    <w:rsid w:val="006F2275"/>
    <w:rsid w:val="006F2BB1"/>
    <w:rsid w:val="006F45E9"/>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442"/>
    <w:rsid w:val="00710AB7"/>
    <w:rsid w:val="0071102F"/>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6F21"/>
    <w:rsid w:val="00727328"/>
    <w:rsid w:val="00727E73"/>
    <w:rsid w:val="007313DF"/>
    <w:rsid w:val="007314D6"/>
    <w:rsid w:val="007319D5"/>
    <w:rsid w:val="007331C7"/>
    <w:rsid w:val="00733BB9"/>
    <w:rsid w:val="00734345"/>
    <w:rsid w:val="00735465"/>
    <w:rsid w:val="00735B72"/>
    <w:rsid w:val="007362B9"/>
    <w:rsid w:val="007365DD"/>
    <w:rsid w:val="00737D6B"/>
    <w:rsid w:val="00737E04"/>
    <w:rsid w:val="0074196E"/>
    <w:rsid w:val="00742904"/>
    <w:rsid w:val="00742BFB"/>
    <w:rsid w:val="00743550"/>
    <w:rsid w:val="0074380F"/>
    <w:rsid w:val="00743B6A"/>
    <w:rsid w:val="0074467A"/>
    <w:rsid w:val="00744952"/>
    <w:rsid w:val="00745545"/>
    <w:rsid w:val="00745F3E"/>
    <w:rsid w:val="00746FD4"/>
    <w:rsid w:val="00747830"/>
    <w:rsid w:val="00747ECF"/>
    <w:rsid w:val="007502FA"/>
    <w:rsid w:val="0075180D"/>
    <w:rsid w:val="00751CE2"/>
    <w:rsid w:val="00751D9D"/>
    <w:rsid w:val="00752558"/>
    <w:rsid w:val="007526B0"/>
    <w:rsid w:val="00752A2F"/>
    <w:rsid w:val="00753659"/>
    <w:rsid w:val="007547E0"/>
    <w:rsid w:val="00755C0C"/>
    <w:rsid w:val="00756DB9"/>
    <w:rsid w:val="00756E44"/>
    <w:rsid w:val="00757A17"/>
    <w:rsid w:val="0076004E"/>
    <w:rsid w:val="007607A4"/>
    <w:rsid w:val="00762094"/>
    <w:rsid w:val="00762CE5"/>
    <w:rsid w:val="007634C8"/>
    <w:rsid w:val="007639E1"/>
    <w:rsid w:val="00764266"/>
    <w:rsid w:val="00764659"/>
    <w:rsid w:val="007648DC"/>
    <w:rsid w:val="00765685"/>
    <w:rsid w:val="007658AE"/>
    <w:rsid w:val="0076591D"/>
    <w:rsid w:val="00765E55"/>
    <w:rsid w:val="007663BB"/>
    <w:rsid w:val="00766CB7"/>
    <w:rsid w:val="00766D98"/>
    <w:rsid w:val="007677A9"/>
    <w:rsid w:val="00767EE4"/>
    <w:rsid w:val="00770839"/>
    <w:rsid w:val="00770B2D"/>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86DB6"/>
    <w:rsid w:val="0079092B"/>
    <w:rsid w:val="00790AA4"/>
    <w:rsid w:val="007917D2"/>
    <w:rsid w:val="007919B5"/>
    <w:rsid w:val="00792342"/>
    <w:rsid w:val="00792870"/>
    <w:rsid w:val="00792C5F"/>
    <w:rsid w:val="00792FD5"/>
    <w:rsid w:val="00793201"/>
    <w:rsid w:val="00793450"/>
    <w:rsid w:val="00793B04"/>
    <w:rsid w:val="00794583"/>
    <w:rsid w:val="00796520"/>
    <w:rsid w:val="00796A89"/>
    <w:rsid w:val="00796E91"/>
    <w:rsid w:val="007976C5"/>
    <w:rsid w:val="00797756"/>
    <w:rsid w:val="007979D2"/>
    <w:rsid w:val="00797AA9"/>
    <w:rsid w:val="007A0303"/>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AE3"/>
    <w:rsid w:val="007B2B4E"/>
    <w:rsid w:val="007B2D64"/>
    <w:rsid w:val="007B31A8"/>
    <w:rsid w:val="007B4E92"/>
    <w:rsid w:val="007B512A"/>
    <w:rsid w:val="007B540F"/>
    <w:rsid w:val="007B583D"/>
    <w:rsid w:val="007B5CB6"/>
    <w:rsid w:val="007B633F"/>
    <w:rsid w:val="007B6897"/>
    <w:rsid w:val="007B7655"/>
    <w:rsid w:val="007B7D0B"/>
    <w:rsid w:val="007B7E42"/>
    <w:rsid w:val="007B7EA1"/>
    <w:rsid w:val="007B7FC5"/>
    <w:rsid w:val="007C0CEF"/>
    <w:rsid w:val="007C1584"/>
    <w:rsid w:val="007C19CC"/>
    <w:rsid w:val="007C2097"/>
    <w:rsid w:val="007C2536"/>
    <w:rsid w:val="007C56E7"/>
    <w:rsid w:val="007C6A33"/>
    <w:rsid w:val="007C6FC5"/>
    <w:rsid w:val="007C70BE"/>
    <w:rsid w:val="007C7C38"/>
    <w:rsid w:val="007C7F17"/>
    <w:rsid w:val="007D0925"/>
    <w:rsid w:val="007D0BEE"/>
    <w:rsid w:val="007D0DE5"/>
    <w:rsid w:val="007D1002"/>
    <w:rsid w:val="007D1118"/>
    <w:rsid w:val="007D12F1"/>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BD7"/>
    <w:rsid w:val="007E3F5D"/>
    <w:rsid w:val="007E78D5"/>
    <w:rsid w:val="007E7B60"/>
    <w:rsid w:val="007F087A"/>
    <w:rsid w:val="007F20F6"/>
    <w:rsid w:val="007F2B0F"/>
    <w:rsid w:val="007F2F89"/>
    <w:rsid w:val="007F32B1"/>
    <w:rsid w:val="007F4677"/>
    <w:rsid w:val="007F4A6D"/>
    <w:rsid w:val="007F4C03"/>
    <w:rsid w:val="007F7200"/>
    <w:rsid w:val="007F751A"/>
    <w:rsid w:val="007F7C4C"/>
    <w:rsid w:val="007F7C71"/>
    <w:rsid w:val="00800C5B"/>
    <w:rsid w:val="00801717"/>
    <w:rsid w:val="0080296D"/>
    <w:rsid w:val="008036C0"/>
    <w:rsid w:val="00803783"/>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6B4"/>
    <w:rsid w:val="00830771"/>
    <w:rsid w:val="00830921"/>
    <w:rsid w:val="00831D41"/>
    <w:rsid w:val="00832512"/>
    <w:rsid w:val="00833C77"/>
    <w:rsid w:val="008342E4"/>
    <w:rsid w:val="0083492C"/>
    <w:rsid w:val="00834BED"/>
    <w:rsid w:val="008368DF"/>
    <w:rsid w:val="00836B28"/>
    <w:rsid w:val="008376AE"/>
    <w:rsid w:val="0084087A"/>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5E"/>
    <w:rsid w:val="00853ACF"/>
    <w:rsid w:val="00853B65"/>
    <w:rsid w:val="00853B79"/>
    <w:rsid w:val="008547BB"/>
    <w:rsid w:val="0085523B"/>
    <w:rsid w:val="00855297"/>
    <w:rsid w:val="00856326"/>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5C73"/>
    <w:rsid w:val="008761AD"/>
    <w:rsid w:val="00876B28"/>
    <w:rsid w:val="0088211D"/>
    <w:rsid w:val="008828BE"/>
    <w:rsid w:val="00882CB0"/>
    <w:rsid w:val="008832D6"/>
    <w:rsid w:val="00883843"/>
    <w:rsid w:val="0088392B"/>
    <w:rsid w:val="00883DD1"/>
    <w:rsid w:val="008849EE"/>
    <w:rsid w:val="00884CD6"/>
    <w:rsid w:val="008853DC"/>
    <w:rsid w:val="00885889"/>
    <w:rsid w:val="00885CA5"/>
    <w:rsid w:val="0088696D"/>
    <w:rsid w:val="00886A6A"/>
    <w:rsid w:val="00886FAD"/>
    <w:rsid w:val="008877EA"/>
    <w:rsid w:val="00887858"/>
    <w:rsid w:val="008903CD"/>
    <w:rsid w:val="00890D1B"/>
    <w:rsid w:val="00891363"/>
    <w:rsid w:val="00892985"/>
    <w:rsid w:val="00892FBD"/>
    <w:rsid w:val="008939D1"/>
    <w:rsid w:val="00893A53"/>
    <w:rsid w:val="00894795"/>
    <w:rsid w:val="00894B9D"/>
    <w:rsid w:val="0089560E"/>
    <w:rsid w:val="00895E93"/>
    <w:rsid w:val="0089641E"/>
    <w:rsid w:val="00897825"/>
    <w:rsid w:val="00897C43"/>
    <w:rsid w:val="00897CED"/>
    <w:rsid w:val="008A09E5"/>
    <w:rsid w:val="008A0DE8"/>
    <w:rsid w:val="008A14AD"/>
    <w:rsid w:val="008A1791"/>
    <w:rsid w:val="008A1B2C"/>
    <w:rsid w:val="008A2E55"/>
    <w:rsid w:val="008A36E3"/>
    <w:rsid w:val="008A38AE"/>
    <w:rsid w:val="008A3922"/>
    <w:rsid w:val="008A4AF8"/>
    <w:rsid w:val="008A5168"/>
    <w:rsid w:val="008A5A71"/>
    <w:rsid w:val="008A5C6D"/>
    <w:rsid w:val="008A5EC4"/>
    <w:rsid w:val="008A619C"/>
    <w:rsid w:val="008A6579"/>
    <w:rsid w:val="008A66C8"/>
    <w:rsid w:val="008A7566"/>
    <w:rsid w:val="008A7668"/>
    <w:rsid w:val="008A76F9"/>
    <w:rsid w:val="008B00E0"/>
    <w:rsid w:val="008B0E8E"/>
    <w:rsid w:val="008B10C2"/>
    <w:rsid w:val="008B11F8"/>
    <w:rsid w:val="008B1ABE"/>
    <w:rsid w:val="008B25D5"/>
    <w:rsid w:val="008B382E"/>
    <w:rsid w:val="008B3CE0"/>
    <w:rsid w:val="008B4878"/>
    <w:rsid w:val="008B48D4"/>
    <w:rsid w:val="008B4919"/>
    <w:rsid w:val="008B5B2A"/>
    <w:rsid w:val="008B5EA8"/>
    <w:rsid w:val="008B607D"/>
    <w:rsid w:val="008B69F9"/>
    <w:rsid w:val="008B6F14"/>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968"/>
    <w:rsid w:val="008C7CF3"/>
    <w:rsid w:val="008D0B9C"/>
    <w:rsid w:val="008D0F70"/>
    <w:rsid w:val="008D1F1F"/>
    <w:rsid w:val="008D2EC5"/>
    <w:rsid w:val="008D2FDE"/>
    <w:rsid w:val="008D344C"/>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8A9"/>
    <w:rsid w:val="008E1D8C"/>
    <w:rsid w:val="008E1E90"/>
    <w:rsid w:val="008E28E4"/>
    <w:rsid w:val="008E3958"/>
    <w:rsid w:val="008E399B"/>
    <w:rsid w:val="008E3C70"/>
    <w:rsid w:val="008E4068"/>
    <w:rsid w:val="008E5147"/>
    <w:rsid w:val="008E565C"/>
    <w:rsid w:val="008E5C27"/>
    <w:rsid w:val="008E673C"/>
    <w:rsid w:val="008E6B28"/>
    <w:rsid w:val="008E6FDF"/>
    <w:rsid w:val="008E761B"/>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62CF"/>
    <w:rsid w:val="008F686C"/>
    <w:rsid w:val="008F6F75"/>
    <w:rsid w:val="008F791D"/>
    <w:rsid w:val="009001C6"/>
    <w:rsid w:val="009013A5"/>
    <w:rsid w:val="00901E8E"/>
    <w:rsid w:val="009026A4"/>
    <w:rsid w:val="00903682"/>
    <w:rsid w:val="00903B46"/>
    <w:rsid w:val="0090501B"/>
    <w:rsid w:val="00905803"/>
    <w:rsid w:val="009058E6"/>
    <w:rsid w:val="00906F20"/>
    <w:rsid w:val="009078C7"/>
    <w:rsid w:val="009114E1"/>
    <w:rsid w:val="00912803"/>
    <w:rsid w:val="0091390D"/>
    <w:rsid w:val="00915F9C"/>
    <w:rsid w:val="009161D4"/>
    <w:rsid w:val="00916583"/>
    <w:rsid w:val="009176E4"/>
    <w:rsid w:val="00922DE3"/>
    <w:rsid w:val="0092317E"/>
    <w:rsid w:val="009233C5"/>
    <w:rsid w:val="0092453D"/>
    <w:rsid w:val="00924665"/>
    <w:rsid w:val="009246FF"/>
    <w:rsid w:val="009249FB"/>
    <w:rsid w:val="00924BC8"/>
    <w:rsid w:val="0092512A"/>
    <w:rsid w:val="0092584A"/>
    <w:rsid w:val="00925FC5"/>
    <w:rsid w:val="00927534"/>
    <w:rsid w:val="00927D2A"/>
    <w:rsid w:val="009323C0"/>
    <w:rsid w:val="009323D1"/>
    <w:rsid w:val="0093290D"/>
    <w:rsid w:val="009337E2"/>
    <w:rsid w:val="00933D2A"/>
    <w:rsid w:val="00933EC9"/>
    <w:rsid w:val="0093465F"/>
    <w:rsid w:val="009348D9"/>
    <w:rsid w:val="00934A3F"/>
    <w:rsid w:val="00935BA2"/>
    <w:rsid w:val="00935CB5"/>
    <w:rsid w:val="00935F80"/>
    <w:rsid w:val="0093736D"/>
    <w:rsid w:val="00940C82"/>
    <w:rsid w:val="00940EA4"/>
    <w:rsid w:val="00941C8B"/>
    <w:rsid w:val="009430FF"/>
    <w:rsid w:val="0094341E"/>
    <w:rsid w:val="00943F8B"/>
    <w:rsid w:val="009454E0"/>
    <w:rsid w:val="00945589"/>
    <w:rsid w:val="00945761"/>
    <w:rsid w:val="00945BED"/>
    <w:rsid w:val="009460DD"/>
    <w:rsid w:val="00946149"/>
    <w:rsid w:val="00946EC8"/>
    <w:rsid w:val="00947BBD"/>
    <w:rsid w:val="009507D6"/>
    <w:rsid w:val="009507DC"/>
    <w:rsid w:val="0095091B"/>
    <w:rsid w:val="00951008"/>
    <w:rsid w:val="009512D9"/>
    <w:rsid w:val="00951332"/>
    <w:rsid w:val="009519B8"/>
    <w:rsid w:val="009528A4"/>
    <w:rsid w:val="00953351"/>
    <w:rsid w:val="0095390B"/>
    <w:rsid w:val="00956165"/>
    <w:rsid w:val="009563F3"/>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4A36"/>
    <w:rsid w:val="00965115"/>
    <w:rsid w:val="009658ED"/>
    <w:rsid w:val="009662C6"/>
    <w:rsid w:val="009662E8"/>
    <w:rsid w:val="009662EB"/>
    <w:rsid w:val="009667AF"/>
    <w:rsid w:val="00966C4D"/>
    <w:rsid w:val="00967D32"/>
    <w:rsid w:val="00967FCA"/>
    <w:rsid w:val="009703CF"/>
    <w:rsid w:val="00970431"/>
    <w:rsid w:val="00970EC6"/>
    <w:rsid w:val="00971BAF"/>
    <w:rsid w:val="009723CC"/>
    <w:rsid w:val="009729A5"/>
    <w:rsid w:val="00972E86"/>
    <w:rsid w:val="00974237"/>
    <w:rsid w:val="00975BBB"/>
    <w:rsid w:val="009776EE"/>
    <w:rsid w:val="009777D9"/>
    <w:rsid w:val="009811CE"/>
    <w:rsid w:val="0098188F"/>
    <w:rsid w:val="009828FE"/>
    <w:rsid w:val="00982BD6"/>
    <w:rsid w:val="009837FE"/>
    <w:rsid w:val="00985260"/>
    <w:rsid w:val="00986C14"/>
    <w:rsid w:val="0098706C"/>
    <w:rsid w:val="00990326"/>
    <w:rsid w:val="00990561"/>
    <w:rsid w:val="00990C15"/>
    <w:rsid w:val="009914E5"/>
    <w:rsid w:val="009918E3"/>
    <w:rsid w:val="00991B88"/>
    <w:rsid w:val="00991D70"/>
    <w:rsid w:val="0099250C"/>
    <w:rsid w:val="00992B7B"/>
    <w:rsid w:val="00992F9B"/>
    <w:rsid w:val="00994056"/>
    <w:rsid w:val="009942D9"/>
    <w:rsid w:val="00994A63"/>
    <w:rsid w:val="00994B13"/>
    <w:rsid w:val="0099606D"/>
    <w:rsid w:val="009964FD"/>
    <w:rsid w:val="0099651F"/>
    <w:rsid w:val="00997593"/>
    <w:rsid w:val="009A04CC"/>
    <w:rsid w:val="009A0747"/>
    <w:rsid w:val="009A276A"/>
    <w:rsid w:val="009A2DEB"/>
    <w:rsid w:val="009A3168"/>
    <w:rsid w:val="009A3564"/>
    <w:rsid w:val="009A44A2"/>
    <w:rsid w:val="009A579D"/>
    <w:rsid w:val="009A5995"/>
    <w:rsid w:val="009A6811"/>
    <w:rsid w:val="009A6F8D"/>
    <w:rsid w:val="009A7FEA"/>
    <w:rsid w:val="009B00F9"/>
    <w:rsid w:val="009B05F4"/>
    <w:rsid w:val="009B0981"/>
    <w:rsid w:val="009B1A5B"/>
    <w:rsid w:val="009B1AF2"/>
    <w:rsid w:val="009B2AC7"/>
    <w:rsid w:val="009B2C74"/>
    <w:rsid w:val="009B4A63"/>
    <w:rsid w:val="009B4CCF"/>
    <w:rsid w:val="009B5909"/>
    <w:rsid w:val="009B5C55"/>
    <w:rsid w:val="009B6468"/>
    <w:rsid w:val="009B7DB1"/>
    <w:rsid w:val="009C0D95"/>
    <w:rsid w:val="009C3156"/>
    <w:rsid w:val="009C408C"/>
    <w:rsid w:val="009C5A15"/>
    <w:rsid w:val="009C63FE"/>
    <w:rsid w:val="009C67F8"/>
    <w:rsid w:val="009C69CD"/>
    <w:rsid w:val="009C6CCD"/>
    <w:rsid w:val="009C7E54"/>
    <w:rsid w:val="009C7EA1"/>
    <w:rsid w:val="009D02C9"/>
    <w:rsid w:val="009D0A87"/>
    <w:rsid w:val="009D2E10"/>
    <w:rsid w:val="009D4B37"/>
    <w:rsid w:val="009D4CCB"/>
    <w:rsid w:val="009D4FE9"/>
    <w:rsid w:val="009D5C6C"/>
    <w:rsid w:val="009D673E"/>
    <w:rsid w:val="009D69EF"/>
    <w:rsid w:val="009D6DFB"/>
    <w:rsid w:val="009D76C5"/>
    <w:rsid w:val="009E00D0"/>
    <w:rsid w:val="009E1405"/>
    <w:rsid w:val="009E20D0"/>
    <w:rsid w:val="009E3297"/>
    <w:rsid w:val="009E4082"/>
    <w:rsid w:val="009E42B8"/>
    <w:rsid w:val="009E444A"/>
    <w:rsid w:val="009E4CCE"/>
    <w:rsid w:val="009E509D"/>
    <w:rsid w:val="009E516D"/>
    <w:rsid w:val="009E6204"/>
    <w:rsid w:val="009E631B"/>
    <w:rsid w:val="009E6F55"/>
    <w:rsid w:val="009E7078"/>
    <w:rsid w:val="009E7D9A"/>
    <w:rsid w:val="009F0087"/>
    <w:rsid w:val="009F047D"/>
    <w:rsid w:val="009F061C"/>
    <w:rsid w:val="009F1559"/>
    <w:rsid w:val="009F1714"/>
    <w:rsid w:val="009F1E33"/>
    <w:rsid w:val="009F2D35"/>
    <w:rsid w:val="009F2EEC"/>
    <w:rsid w:val="009F3706"/>
    <w:rsid w:val="009F4388"/>
    <w:rsid w:val="009F5449"/>
    <w:rsid w:val="009F56C7"/>
    <w:rsid w:val="009F61C2"/>
    <w:rsid w:val="009F63AF"/>
    <w:rsid w:val="009F678F"/>
    <w:rsid w:val="009F6EF2"/>
    <w:rsid w:val="009F734F"/>
    <w:rsid w:val="009F7656"/>
    <w:rsid w:val="009F7784"/>
    <w:rsid w:val="00A00234"/>
    <w:rsid w:val="00A00F53"/>
    <w:rsid w:val="00A01BA2"/>
    <w:rsid w:val="00A01D3C"/>
    <w:rsid w:val="00A01D5F"/>
    <w:rsid w:val="00A0212F"/>
    <w:rsid w:val="00A02796"/>
    <w:rsid w:val="00A028C7"/>
    <w:rsid w:val="00A03A09"/>
    <w:rsid w:val="00A04AD5"/>
    <w:rsid w:val="00A04B0F"/>
    <w:rsid w:val="00A059D2"/>
    <w:rsid w:val="00A05DE9"/>
    <w:rsid w:val="00A072DE"/>
    <w:rsid w:val="00A0789F"/>
    <w:rsid w:val="00A07C3C"/>
    <w:rsid w:val="00A07CA2"/>
    <w:rsid w:val="00A10E7C"/>
    <w:rsid w:val="00A11A35"/>
    <w:rsid w:val="00A11BCD"/>
    <w:rsid w:val="00A1205C"/>
    <w:rsid w:val="00A12257"/>
    <w:rsid w:val="00A12C29"/>
    <w:rsid w:val="00A12F42"/>
    <w:rsid w:val="00A13060"/>
    <w:rsid w:val="00A144DC"/>
    <w:rsid w:val="00A1561E"/>
    <w:rsid w:val="00A15D3B"/>
    <w:rsid w:val="00A16D7D"/>
    <w:rsid w:val="00A17FF8"/>
    <w:rsid w:val="00A213E5"/>
    <w:rsid w:val="00A22337"/>
    <w:rsid w:val="00A224E8"/>
    <w:rsid w:val="00A22504"/>
    <w:rsid w:val="00A22999"/>
    <w:rsid w:val="00A22BCC"/>
    <w:rsid w:val="00A22FC8"/>
    <w:rsid w:val="00A24032"/>
    <w:rsid w:val="00A24285"/>
    <w:rsid w:val="00A246B6"/>
    <w:rsid w:val="00A24DBA"/>
    <w:rsid w:val="00A2589E"/>
    <w:rsid w:val="00A27530"/>
    <w:rsid w:val="00A27CB4"/>
    <w:rsid w:val="00A323EF"/>
    <w:rsid w:val="00A3271F"/>
    <w:rsid w:val="00A327EA"/>
    <w:rsid w:val="00A328BA"/>
    <w:rsid w:val="00A32A88"/>
    <w:rsid w:val="00A33175"/>
    <w:rsid w:val="00A33244"/>
    <w:rsid w:val="00A33834"/>
    <w:rsid w:val="00A3450C"/>
    <w:rsid w:val="00A3474E"/>
    <w:rsid w:val="00A35F56"/>
    <w:rsid w:val="00A36590"/>
    <w:rsid w:val="00A36CB6"/>
    <w:rsid w:val="00A3788C"/>
    <w:rsid w:val="00A37999"/>
    <w:rsid w:val="00A412D5"/>
    <w:rsid w:val="00A41F5E"/>
    <w:rsid w:val="00A42D9F"/>
    <w:rsid w:val="00A4318C"/>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088"/>
    <w:rsid w:val="00A56103"/>
    <w:rsid w:val="00A5649D"/>
    <w:rsid w:val="00A56D61"/>
    <w:rsid w:val="00A56FB8"/>
    <w:rsid w:val="00A57781"/>
    <w:rsid w:val="00A60767"/>
    <w:rsid w:val="00A61D11"/>
    <w:rsid w:val="00A6202A"/>
    <w:rsid w:val="00A62337"/>
    <w:rsid w:val="00A63E71"/>
    <w:rsid w:val="00A6498F"/>
    <w:rsid w:val="00A64A66"/>
    <w:rsid w:val="00A64AAB"/>
    <w:rsid w:val="00A6502E"/>
    <w:rsid w:val="00A654A2"/>
    <w:rsid w:val="00A663C3"/>
    <w:rsid w:val="00A66EB1"/>
    <w:rsid w:val="00A679EC"/>
    <w:rsid w:val="00A67D8A"/>
    <w:rsid w:val="00A7003F"/>
    <w:rsid w:val="00A700BF"/>
    <w:rsid w:val="00A70B1D"/>
    <w:rsid w:val="00A7172B"/>
    <w:rsid w:val="00A718A1"/>
    <w:rsid w:val="00A719E9"/>
    <w:rsid w:val="00A73602"/>
    <w:rsid w:val="00A736BE"/>
    <w:rsid w:val="00A73BEC"/>
    <w:rsid w:val="00A7440F"/>
    <w:rsid w:val="00A750A9"/>
    <w:rsid w:val="00A755A8"/>
    <w:rsid w:val="00A7617F"/>
    <w:rsid w:val="00A7671C"/>
    <w:rsid w:val="00A76CCD"/>
    <w:rsid w:val="00A77096"/>
    <w:rsid w:val="00A800B5"/>
    <w:rsid w:val="00A8177A"/>
    <w:rsid w:val="00A83013"/>
    <w:rsid w:val="00A844EA"/>
    <w:rsid w:val="00A84A3A"/>
    <w:rsid w:val="00A84B77"/>
    <w:rsid w:val="00A84D49"/>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C46"/>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73DE"/>
    <w:rsid w:val="00AB7F28"/>
    <w:rsid w:val="00AC005B"/>
    <w:rsid w:val="00AC0F5C"/>
    <w:rsid w:val="00AC1419"/>
    <w:rsid w:val="00AC1E75"/>
    <w:rsid w:val="00AC1FA7"/>
    <w:rsid w:val="00AC261E"/>
    <w:rsid w:val="00AC3161"/>
    <w:rsid w:val="00AC38E7"/>
    <w:rsid w:val="00AC42ED"/>
    <w:rsid w:val="00AC5BB5"/>
    <w:rsid w:val="00AC5F94"/>
    <w:rsid w:val="00AC5FA7"/>
    <w:rsid w:val="00AC61CE"/>
    <w:rsid w:val="00AC7258"/>
    <w:rsid w:val="00AC7E77"/>
    <w:rsid w:val="00AD08BA"/>
    <w:rsid w:val="00AD097C"/>
    <w:rsid w:val="00AD0D78"/>
    <w:rsid w:val="00AD1392"/>
    <w:rsid w:val="00AD15EE"/>
    <w:rsid w:val="00AD1CD8"/>
    <w:rsid w:val="00AD1D9E"/>
    <w:rsid w:val="00AD2B9D"/>
    <w:rsid w:val="00AD368A"/>
    <w:rsid w:val="00AD3BE8"/>
    <w:rsid w:val="00AD3E6F"/>
    <w:rsid w:val="00AD4BD0"/>
    <w:rsid w:val="00AD54F6"/>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A42"/>
    <w:rsid w:val="00AE6CEB"/>
    <w:rsid w:val="00AE7026"/>
    <w:rsid w:val="00AE7564"/>
    <w:rsid w:val="00AE7D0C"/>
    <w:rsid w:val="00AF0FAF"/>
    <w:rsid w:val="00AF133A"/>
    <w:rsid w:val="00AF1A38"/>
    <w:rsid w:val="00AF28DD"/>
    <w:rsid w:val="00AF2F5E"/>
    <w:rsid w:val="00AF3286"/>
    <w:rsid w:val="00AF3325"/>
    <w:rsid w:val="00AF39E1"/>
    <w:rsid w:val="00AF4403"/>
    <w:rsid w:val="00AF445D"/>
    <w:rsid w:val="00AF4B41"/>
    <w:rsid w:val="00AF4ED1"/>
    <w:rsid w:val="00AF56D6"/>
    <w:rsid w:val="00AF631E"/>
    <w:rsid w:val="00AF64DA"/>
    <w:rsid w:val="00B00594"/>
    <w:rsid w:val="00B01449"/>
    <w:rsid w:val="00B016A4"/>
    <w:rsid w:val="00B019AC"/>
    <w:rsid w:val="00B0220D"/>
    <w:rsid w:val="00B0220F"/>
    <w:rsid w:val="00B02264"/>
    <w:rsid w:val="00B033E1"/>
    <w:rsid w:val="00B0341B"/>
    <w:rsid w:val="00B03567"/>
    <w:rsid w:val="00B038C8"/>
    <w:rsid w:val="00B03E9B"/>
    <w:rsid w:val="00B042B9"/>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65B"/>
    <w:rsid w:val="00B3289F"/>
    <w:rsid w:val="00B3298C"/>
    <w:rsid w:val="00B3365C"/>
    <w:rsid w:val="00B34410"/>
    <w:rsid w:val="00B3466A"/>
    <w:rsid w:val="00B34853"/>
    <w:rsid w:val="00B3559B"/>
    <w:rsid w:val="00B35F33"/>
    <w:rsid w:val="00B3614D"/>
    <w:rsid w:val="00B36319"/>
    <w:rsid w:val="00B36E24"/>
    <w:rsid w:val="00B37E79"/>
    <w:rsid w:val="00B37F05"/>
    <w:rsid w:val="00B40277"/>
    <w:rsid w:val="00B407C9"/>
    <w:rsid w:val="00B4117E"/>
    <w:rsid w:val="00B41A38"/>
    <w:rsid w:val="00B4222D"/>
    <w:rsid w:val="00B42320"/>
    <w:rsid w:val="00B42867"/>
    <w:rsid w:val="00B42EE4"/>
    <w:rsid w:val="00B44156"/>
    <w:rsid w:val="00B44444"/>
    <w:rsid w:val="00B44E82"/>
    <w:rsid w:val="00B45B84"/>
    <w:rsid w:val="00B466B9"/>
    <w:rsid w:val="00B46EBE"/>
    <w:rsid w:val="00B47739"/>
    <w:rsid w:val="00B47B3C"/>
    <w:rsid w:val="00B505FA"/>
    <w:rsid w:val="00B50BD8"/>
    <w:rsid w:val="00B50F71"/>
    <w:rsid w:val="00B51E8A"/>
    <w:rsid w:val="00B52661"/>
    <w:rsid w:val="00B52B8A"/>
    <w:rsid w:val="00B54186"/>
    <w:rsid w:val="00B54416"/>
    <w:rsid w:val="00B54485"/>
    <w:rsid w:val="00B54717"/>
    <w:rsid w:val="00B5570A"/>
    <w:rsid w:val="00B55920"/>
    <w:rsid w:val="00B5634B"/>
    <w:rsid w:val="00B56FB8"/>
    <w:rsid w:val="00B5701F"/>
    <w:rsid w:val="00B57266"/>
    <w:rsid w:val="00B57761"/>
    <w:rsid w:val="00B612FD"/>
    <w:rsid w:val="00B63642"/>
    <w:rsid w:val="00B63AE4"/>
    <w:rsid w:val="00B63FCE"/>
    <w:rsid w:val="00B6424D"/>
    <w:rsid w:val="00B655D0"/>
    <w:rsid w:val="00B663AD"/>
    <w:rsid w:val="00B66875"/>
    <w:rsid w:val="00B67222"/>
    <w:rsid w:val="00B67B97"/>
    <w:rsid w:val="00B67C06"/>
    <w:rsid w:val="00B70559"/>
    <w:rsid w:val="00B707B9"/>
    <w:rsid w:val="00B709AF"/>
    <w:rsid w:val="00B71117"/>
    <w:rsid w:val="00B7141C"/>
    <w:rsid w:val="00B72ED9"/>
    <w:rsid w:val="00B73830"/>
    <w:rsid w:val="00B73B89"/>
    <w:rsid w:val="00B74544"/>
    <w:rsid w:val="00B74D73"/>
    <w:rsid w:val="00B7505B"/>
    <w:rsid w:val="00B754D1"/>
    <w:rsid w:val="00B75C81"/>
    <w:rsid w:val="00B7732E"/>
    <w:rsid w:val="00B778F3"/>
    <w:rsid w:val="00B77A01"/>
    <w:rsid w:val="00B80BB3"/>
    <w:rsid w:val="00B81580"/>
    <w:rsid w:val="00B823CA"/>
    <w:rsid w:val="00B835C7"/>
    <w:rsid w:val="00B84409"/>
    <w:rsid w:val="00B85495"/>
    <w:rsid w:val="00B85611"/>
    <w:rsid w:val="00B85726"/>
    <w:rsid w:val="00B85AF0"/>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97728"/>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6DB"/>
    <w:rsid w:val="00BC4827"/>
    <w:rsid w:val="00BC53F2"/>
    <w:rsid w:val="00BC5ACE"/>
    <w:rsid w:val="00BC7277"/>
    <w:rsid w:val="00BD09F5"/>
    <w:rsid w:val="00BD279D"/>
    <w:rsid w:val="00BD3926"/>
    <w:rsid w:val="00BD3FBB"/>
    <w:rsid w:val="00BD41C1"/>
    <w:rsid w:val="00BD4ADD"/>
    <w:rsid w:val="00BD5B37"/>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B91"/>
    <w:rsid w:val="00BE3C38"/>
    <w:rsid w:val="00BE4232"/>
    <w:rsid w:val="00BE4E66"/>
    <w:rsid w:val="00BE4F23"/>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3228"/>
    <w:rsid w:val="00BF3400"/>
    <w:rsid w:val="00BF37C1"/>
    <w:rsid w:val="00BF395D"/>
    <w:rsid w:val="00BF4390"/>
    <w:rsid w:val="00BF43F4"/>
    <w:rsid w:val="00BF4E8E"/>
    <w:rsid w:val="00BF5388"/>
    <w:rsid w:val="00BF54BE"/>
    <w:rsid w:val="00BF5659"/>
    <w:rsid w:val="00BF5843"/>
    <w:rsid w:val="00BF68BB"/>
    <w:rsid w:val="00BF694E"/>
    <w:rsid w:val="00BF6E24"/>
    <w:rsid w:val="00BF6F62"/>
    <w:rsid w:val="00C00273"/>
    <w:rsid w:val="00C004F4"/>
    <w:rsid w:val="00C01284"/>
    <w:rsid w:val="00C02101"/>
    <w:rsid w:val="00C0253B"/>
    <w:rsid w:val="00C02768"/>
    <w:rsid w:val="00C04100"/>
    <w:rsid w:val="00C054FF"/>
    <w:rsid w:val="00C05939"/>
    <w:rsid w:val="00C0662E"/>
    <w:rsid w:val="00C07168"/>
    <w:rsid w:val="00C0781F"/>
    <w:rsid w:val="00C07A03"/>
    <w:rsid w:val="00C10150"/>
    <w:rsid w:val="00C1176E"/>
    <w:rsid w:val="00C11C3F"/>
    <w:rsid w:val="00C12E55"/>
    <w:rsid w:val="00C12FFF"/>
    <w:rsid w:val="00C13D47"/>
    <w:rsid w:val="00C147E1"/>
    <w:rsid w:val="00C162AE"/>
    <w:rsid w:val="00C1645D"/>
    <w:rsid w:val="00C16487"/>
    <w:rsid w:val="00C164A9"/>
    <w:rsid w:val="00C167A9"/>
    <w:rsid w:val="00C16C4E"/>
    <w:rsid w:val="00C1754C"/>
    <w:rsid w:val="00C17E7B"/>
    <w:rsid w:val="00C20A0B"/>
    <w:rsid w:val="00C220AF"/>
    <w:rsid w:val="00C220B7"/>
    <w:rsid w:val="00C225BF"/>
    <w:rsid w:val="00C230D0"/>
    <w:rsid w:val="00C23A0F"/>
    <w:rsid w:val="00C252E5"/>
    <w:rsid w:val="00C25775"/>
    <w:rsid w:val="00C25A4B"/>
    <w:rsid w:val="00C26696"/>
    <w:rsid w:val="00C268F7"/>
    <w:rsid w:val="00C26A4D"/>
    <w:rsid w:val="00C27AF1"/>
    <w:rsid w:val="00C27F99"/>
    <w:rsid w:val="00C301A6"/>
    <w:rsid w:val="00C3165D"/>
    <w:rsid w:val="00C3238A"/>
    <w:rsid w:val="00C32AC4"/>
    <w:rsid w:val="00C34FA5"/>
    <w:rsid w:val="00C373A8"/>
    <w:rsid w:val="00C37B2E"/>
    <w:rsid w:val="00C402CA"/>
    <w:rsid w:val="00C4072E"/>
    <w:rsid w:val="00C40CA5"/>
    <w:rsid w:val="00C41603"/>
    <w:rsid w:val="00C43488"/>
    <w:rsid w:val="00C4375E"/>
    <w:rsid w:val="00C44065"/>
    <w:rsid w:val="00C44F6D"/>
    <w:rsid w:val="00C4612B"/>
    <w:rsid w:val="00C503BF"/>
    <w:rsid w:val="00C50450"/>
    <w:rsid w:val="00C50EB1"/>
    <w:rsid w:val="00C51210"/>
    <w:rsid w:val="00C51879"/>
    <w:rsid w:val="00C51B57"/>
    <w:rsid w:val="00C52144"/>
    <w:rsid w:val="00C53527"/>
    <w:rsid w:val="00C53D10"/>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6EA7"/>
    <w:rsid w:val="00C6734F"/>
    <w:rsid w:val="00C67497"/>
    <w:rsid w:val="00C676B7"/>
    <w:rsid w:val="00C67983"/>
    <w:rsid w:val="00C70453"/>
    <w:rsid w:val="00C70E12"/>
    <w:rsid w:val="00C70FDB"/>
    <w:rsid w:val="00C71708"/>
    <w:rsid w:val="00C72740"/>
    <w:rsid w:val="00C72F71"/>
    <w:rsid w:val="00C73C5E"/>
    <w:rsid w:val="00C749C3"/>
    <w:rsid w:val="00C74A3B"/>
    <w:rsid w:val="00C74BCC"/>
    <w:rsid w:val="00C771EE"/>
    <w:rsid w:val="00C77CDF"/>
    <w:rsid w:val="00C77F58"/>
    <w:rsid w:val="00C80551"/>
    <w:rsid w:val="00C80974"/>
    <w:rsid w:val="00C81781"/>
    <w:rsid w:val="00C81E06"/>
    <w:rsid w:val="00C820E3"/>
    <w:rsid w:val="00C82825"/>
    <w:rsid w:val="00C83B74"/>
    <w:rsid w:val="00C84330"/>
    <w:rsid w:val="00C84B53"/>
    <w:rsid w:val="00C84B7A"/>
    <w:rsid w:val="00C8565F"/>
    <w:rsid w:val="00C85734"/>
    <w:rsid w:val="00C857F8"/>
    <w:rsid w:val="00C85868"/>
    <w:rsid w:val="00C85A08"/>
    <w:rsid w:val="00C86568"/>
    <w:rsid w:val="00C87FAA"/>
    <w:rsid w:val="00C90345"/>
    <w:rsid w:val="00C90661"/>
    <w:rsid w:val="00C90D9D"/>
    <w:rsid w:val="00C915F5"/>
    <w:rsid w:val="00C92DFB"/>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3DB1"/>
    <w:rsid w:val="00CB4201"/>
    <w:rsid w:val="00CB4D0A"/>
    <w:rsid w:val="00CB4DCD"/>
    <w:rsid w:val="00CB5FCC"/>
    <w:rsid w:val="00CB610D"/>
    <w:rsid w:val="00CB68E6"/>
    <w:rsid w:val="00CB6923"/>
    <w:rsid w:val="00CB6E42"/>
    <w:rsid w:val="00CB6E49"/>
    <w:rsid w:val="00CB7E03"/>
    <w:rsid w:val="00CC0DB6"/>
    <w:rsid w:val="00CC1D95"/>
    <w:rsid w:val="00CC1F42"/>
    <w:rsid w:val="00CC216E"/>
    <w:rsid w:val="00CC3083"/>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5392"/>
    <w:rsid w:val="00CD66F9"/>
    <w:rsid w:val="00CD6D10"/>
    <w:rsid w:val="00CD776E"/>
    <w:rsid w:val="00CE07A8"/>
    <w:rsid w:val="00CE0B86"/>
    <w:rsid w:val="00CE0C2A"/>
    <w:rsid w:val="00CE10DF"/>
    <w:rsid w:val="00CE1F02"/>
    <w:rsid w:val="00CE21F0"/>
    <w:rsid w:val="00CE227D"/>
    <w:rsid w:val="00CE2386"/>
    <w:rsid w:val="00CE26DD"/>
    <w:rsid w:val="00CE2A00"/>
    <w:rsid w:val="00CE2C37"/>
    <w:rsid w:val="00CE30BD"/>
    <w:rsid w:val="00CE6BD9"/>
    <w:rsid w:val="00CF2DC2"/>
    <w:rsid w:val="00CF35F6"/>
    <w:rsid w:val="00CF41DE"/>
    <w:rsid w:val="00CF7C00"/>
    <w:rsid w:val="00CF7DDB"/>
    <w:rsid w:val="00D0012B"/>
    <w:rsid w:val="00D00FAE"/>
    <w:rsid w:val="00D01693"/>
    <w:rsid w:val="00D01E17"/>
    <w:rsid w:val="00D03CD5"/>
    <w:rsid w:val="00D03F9A"/>
    <w:rsid w:val="00D041BA"/>
    <w:rsid w:val="00D052C3"/>
    <w:rsid w:val="00D06BF4"/>
    <w:rsid w:val="00D07272"/>
    <w:rsid w:val="00D078D2"/>
    <w:rsid w:val="00D109A0"/>
    <w:rsid w:val="00D11675"/>
    <w:rsid w:val="00D12112"/>
    <w:rsid w:val="00D125DB"/>
    <w:rsid w:val="00D14817"/>
    <w:rsid w:val="00D14EB0"/>
    <w:rsid w:val="00D16834"/>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B9C"/>
    <w:rsid w:val="00D30EF7"/>
    <w:rsid w:val="00D315AE"/>
    <w:rsid w:val="00D317F9"/>
    <w:rsid w:val="00D3235D"/>
    <w:rsid w:val="00D337F5"/>
    <w:rsid w:val="00D348D4"/>
    <w:rsid w:val="00D36ABF"/>
    <w:rsid w:val="00D36F8F"/>
    <w:rsid w:val="00D373B4"/>
    <w:rsid w:val="00D4060A"/>
    <w:rsid w:val="00D4061E"/>
    <w:rsid w:val="00D41202"/>
    <w:rsid w:val="00D42360"/>
    <w:rsid w:val="00D426E7"/>
    <w:rsid w:val="00D440F8"/>
    <w:rsid w:val="00D4418D"/>
    <w:rsid w:val="00D44421"/>
    <w:rsid w:val="00D4520E"/>
    <w:rsid w:val="00D45372"/>
    <w:rsid w:val="00D468B0"/>
    <w:rsid w:val="00D46DAE"/>
    <w:rsid w:val="00D4778B"/>
    <w:rsid w:val="00D51C0A"/>
    <w:rsid w:val="00D51E35"/>
    <w:rsid w:val="00D524D1"/>
    <w:rsid w:val="00D536AB"/>
    <w:rsid w:val="00D53884"/>
    <w:rsid w:val="00D53D24"/>
    <w:rsid w:val="00D541AA"/>
    <w:rsid w:val="00D54674"/>
    <w:rsid w:val="00D548D6"/>
    <w:rsid w:val="00D565FA"/>
    <w:rsid w:val="00D56F19"/>
    <w:rsid w:val="00D57C80"/>
    <w:rsid w:val="00D57FD6"/>
    <w:rsid w:val="00D60749"/>
    <w:rsid w:val="00D6245A"/>
    <w:rsid w:val="00D63AF9"/>
    <w:rsid w:val="00D63EC7"/>
    <w:rsid w:val="00D647F6"/>
    <w:rsid w:val="00D64B36"/>
    <w:rsid w:val="00D64F40"/>
    <w:rsid w:val="00D6508A"/>
    <w:rsid w:val="00D650E3"/>
    <w:rsid w:val="00D6530A"/>
    <w:rsid w:val="00D65412"/>
    <w:rsid w:val="00D7000F"/>
    <w:rsid w:val="00D70237"/>
    <w:rsid w:val="00D70B7A"/>
    <w:rsid w:val="00D71637"/>
    <w:rsid w:val="00D716B4"/>
    <w:rsid w:val="00D71A71"/>
    <w:rsid w:val="00D71B0A"/>
    <w:rsid w:val="00D726BF"/>
    <w:rsid w:val="00D72E7E"/>
    <w:rsid w:val="00D7355A"/>
    <w:rsid w:val="00D74750"/>
    <w:rsid w:val="00D74995"/>
    <w:rsid w:val="00D74C32"/>
    <w:rsid w:val="00D75841"/>
    <w:rsid w:val="00D76C05"/>
    <w:rsid w:val="00D772B6"/>
    <w:rsid w:val="00D77446"/>
    <w:rsid w:val="00D77779"/>
    <w:rsid w:val="00D80251"/>
    <w:rsid w:val="00D8045C"/>
    <w:rsid w:val="00D80760"/>
    <w:rsid w:val="00D813CC"/>
    <w:rsid w:val="00D81738"/>
    <w:rsid w:val="00D85D4B"/>
    <w:rsid w:val="00D86738"/>
    <w:rsid w:val="00D86A45"/>
    <w:rsid w:val="00D87331"/>
    <w:rsid w:val="00D876EA"/>
    <w:rsid w:val="00D90155"/>
    <w:rsid w:val="00D9144A"/>
    <w:rsid w:val="00D92E58"/>
    <w:rsid w:val="00D93CE7"/>
    <w:rsid w:val="00D93DA4"/>
    <w:rsid w:val="00D94335"/>
    <w:rsid w:val="00D94531"/>
    <w:rsid w:val="00D94B7E"/>
    <w:rsid w:val="00D94F41"/>
    <w:rsid w:val="00D9718D"/>
    <w:rsid w:val="00DA0FB8"/>
    <w:rsid w:val="00DA11EB"/>
    <w:rsid w:val="00DA310E"/>
    <w:rsid w:val="00DA3DD1"/>
    <w:rsid w:val="00DA40B8"/>
    <w:rsid w:val="00DA466E"/>
    <w:rsid w:val="00DA4D2E"/>
    <w:rsid w:val="00DA536B"/>
    <w:rsid w:val="00DA5611"/>
    <w:rsid w:val="00DA66AD"/>
    <w:rsid w:val="00DA6AAA"/>
    <w:rsid w:val="00DA6E73"/>
    <w:rsid w:val="00DA702D"/>
    <w:rsid w:val="00DB1296"/>
    <w:rsid w:val="00DB37EA"/>
    <w:rsid w:val="00DB3A4A"/>
    <w:rsid w:val="00DB4718"/>
    <w:rsid w:val="00DB4ED5"/>
    <w:rsid w:val="00DB5331"/>
    <w:rsid w:val="00DB5ACD"/>
    <w:rsid w:val="00DB5EE1"/>
    <w:rsid w:val="00DB63CF"/>
    <w:rsid w:val="00DB68F9"/>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19D0"/>
    <w:rsid w:val="00DD2737"/>
    <w:rsid w:val="00DD2AA9"/>
    <w:rsid w:val="00DD3603"/>
    <w:rsid w:val="00DD3A71"/>
    <w:rsid w:val="00DD4B3C"/>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746"/>
    <w:rsid w:val="00DE3C12"/>
    <w:rsid w:val="00DE3CA1"/>
    <w:rsid w:val="00DE4051"/>
    <w:rsid w:val="00DE4880"/>
    <w:rsid w:val="00DE4FD9"/>
    <w:rsid w:val="00DE5A01"/>
    <w:rsid w:val="00DE6002"/>
    <w:rsid w:val="00DE7432"/>
    <w:rsid w:val="00DE7B0F"/>
    <w:rsid w:val="00DF019A"/>
    <w:rsid w:val="00DF05E4"/>
    <w:rsid w:val="00DF24C4"/>
    <w:rsid w:val="00DF30FE"/>
    <w:rsid w:val="00DF3D62"/>
    <w:rsid w:val="00DF4091"/>
    <w:rsid w:val="00DF457E"/>
    <w:rsid w:val="00DF51B4"/>
    <w:rsid w:val="00DF6272"/>
    <w:rsid w:val="00DF703B"/>
    <w:rsid w:val="00DF79DB"/>
    <w:rsid w:val="00DF7D0E"/>
    <w:rsid w:val="00E00CD9"/>
    <w:rsid w:val="00E01551"/>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1BA"/>
    <w:rsid w:val="00E20569"/>
    <w:rsid w:val="00E2059D"/>
    <w:rsid w:val="00E20C95"/>
    <w:rsid w:val="00E21F76"/>
    <w:rsid w:val="00E2251B"/>
    <w:rsid w:val="00E23240"/>
    <w:rsid w:val="00E242A7"/>
    <w:rsid w:val="00E243D1"/>
    <w:rsid w:val="00E25FA4"/>
    <w:rsid w:val="00E26C86"/>
    <w:rsid w:val="00E27D80"/>
    <w:rsid w:val="00E3052E"/>
    <w:rsid w:val="00E30B66"/>
    <w:rsid w:val="00E3124B"/>
    <w:rsid w:val="00E32EF4"/>
    <w:rsid w:val="00E330E9"/>
    <w:rsid w:val="00E334F8"/>
    <w:rsid w:val="00E35004"/>
    <w:rsid w:val="00E356CA"/>
    <w:rsid w:val="00E35B05"/>
    <w:rsid w:val="00E35B62"/>
    <w:rsid w:val="00E36979"/>
    <w:rsid w:val="00E37211"/>
    <w:rsid w:val="00E40E5A"/>
    <w:rsid w:val="00E41344"/>
    <w:rsid w:val="00E42F0A"/>
    <w:rsid w:val="00E43576"/>
    <w:rsid w:val="00E43874"/>
    <w:rsid w:val="00E43C64"/>
    <w:rsid w:val="00E43E98"/>
    <w:rsid w:val="00E4435C"/>
    <w:rsid w:val="00E44E66"/>
    <w:rsid w:val="00E46117"/>
    <w:rsid w:val="00E4747F"/>
    <w:rsid w:val="00E50396"/>
    <w:rsid w:val="00E506FC"/>
    <w:rsid w:val="00E517F9"/>
    <w:rsid w:val="00E51877"/>
    <w:rsid w:val="00E51C41"/>
    <w:rsid w:val="00E51F50"/>
    <w:rsid w:val="00E52488"/>
    <w:rsid w:val="00E52B37"/>
    <w:rsid w:val="00E52C58"/>
    <w:rsid w:val="00E53403"/>
    <w:rsid w:val="00E5382B"/>
    <w:rsid w:val="00E53AC6"/>
    <w:rsid w:val="00E54045"/>
    <w:rsid w:val="00E56910"/>
    <w:rsid w:val="00E56D73"/>
    <w:rsid w:val="00E5778F"/>
    <w:rsid w:val="00E577AB"/>
    <w:rsid w:val="00E577B1"/>
    <w:rsid w:val="00E57EC9"/>
    <w:rsid w:val="00E62AF5"/>
    <w:rsid w:val="00E63716"/>
    <w:rsid w:val="00E64251"/>
    <w:rsid w:val="00E643FD"/>
    <w:rsid w:val="00E645D9"/>
    <w:rsid w:val="00E648F5"/>
    <w:rsid w:val="00E64BDD"/>
    <w:rsid w:val="00E65432"/>
    <w:rsid w:val="00E6561C"/>
    <w:rsid w:val="00E65772"/>
    <w:rsid w:val="00E658A3"/>
    <w:rsid w:val="00E65BE7"/>
    <w:rsid w:val="00E6698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9EF"/>
    <w:rsid w:val="00E83ACC"/>
    <w:rsid w:val="00E83D62"/>
    <w:rsid w:val="00E8418B"/>
    <w:rsid w:val="00E84F17"/>
    <w:rsid w:val="00E8559F"/>
    <w:rsid w:val="00E85805"/>
    <w:rsid w:val="00E86D3A"/>
    <w:rsid w:val="00E86FF9"/>
    <w:rsid w:val="00E87935"/>
    <w:rsid w:val="00E87A61"/>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97ECF"/>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34B"/>
    <w:rsid w:val="00EB1960"/>
    <w:rsid w:val="00EB20C3"/>
    <w:rsid w:val="00EB2757"/>
    <w:rsid w:val="00EB2DE7"/>
    <w:rsid w:val="00EB2E28"/>
    <w:rsid w:val="00EB2E51"/>
    <w:rsid w:val="00EB355E"/>
    <w:rsid w:val="00EB3626"/>
    <w:rsid w:val="00EB3818"/>
    <w:rsid w:val="00EB38CF"/>
    <w:rsid w:val="00EB47FE"/>
    <w:rsid w:val="00EB4F7B"/>
    <w:rsid w:val="00EB5049"/>
    <w:rsid w:val="00EB54CC"/>
    <w:rsid w:val="00EB552E"/>
    <w:rsid w:val="00EB61E9"/>
    <w:rsid w:val="00EB6C2F"/>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0F34"/>
    <w:rsid w:val="00ED1072"/>
    <w:rsid w:val="00ED16B3"/>
    <w:rsid w:val="00ED1B6B"/>
    <w:rsid w:val="00ED1BA3"/>
    <w:rsid w:val="00ED3472"/>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5451"/>
    <w:rsid w:val="00EE5707"/>
    <w:rsid w:val="00EE6163"/>
    <w:rsid w:val="00EE69E2"/>
    <w:rsid w:val="00EE6F57"/>
    <w:rsid w:val="00EE73A2"/>
    <w:rsid w:val="00EE7D7C"/>
    <w:rsid w:val="00EE7DEA"/>
    <w:rsid w:val="00EE7DF1"/>
    <w:rsid w:val="00EF04A2"/>
    <w:rsid w:val="00EF06D2"/>
    <w:rsid w:val="00EF161C"/>
    <w:rsid w:val="00EF1639"/>
    <w:rsid w:val="00EF1DB7"/>
    <w:rsid w:val="00EF21B4"/>
    <w:rsid w:val="00EF2AD1"/>
    <w:rsid w:val="00EF3078"/>
    <w:rsid w:val="00EF3306"/>
    <w:rsid w:val="00EF4090"/>
    <w:rsid w:val="00EF451D"/>
    <w:rsid w:val="00EF46F5"/>
    <w:rsid w:val="00EF4894"/>
    <w:rsid w:val="00EF6E94"/>
    <w:rsid w:val="00EF7372"/>
    <w:rsid w:val="00EF7E99"/>
    <w:rsid w:val="00EF7F85"/>
    <w:rsid w:val="00F00067"/>
    <w:rsid w:val="00F000EE"/>
    <w:rsid w:val="00F0108E"/>
    <w:rsid w:val="00F011E2"/>
    <w:rsid w:val="00F01732"/>
    <w:rsid w:val="00F0204A"/>
    <w:rsid w:val="00F02065"/>
    <w:rsid w:val="00F02802"/>
    <w:rsid w:val="00F02CEB"/>
    <w:rsid w:val="00F03B47"/>
    <w:rsid w:val="00F04256"/>
    <w:rsid w:val="00F05345"/>
    <w:rsid w:val="00F0536D"/>
    <w:rsid w:val="00F053DC"/>
    <w:rsid w:val="00F05F55"/>
    <w:rsid w:val="00F05FB8"/>
    <w:rsid w:val="00F10A89"/>
    <w:rsid w:val="00F11233"/>
    <w:rsid w:val="00F114F9"/>
    <w:rsid w:val="00F115EA"/>
    <w:rsid w:val="00F134EA"/>
    <w:rsid w:val="00F136C2"/>
    <w:rsid w:val="00F14BCF"/>
    <w:rsid w:val="00F14F8E"/>
    <w:rsid w:val="00F1568B"/>
    <w:rsid w:val="00F1773B"/>
    <w:rsid w:val="00F20AF0"/>
    <w:rsid w:val="00F212F3"/>
    <w:rsid w:val="00F214CC"/>
    <w:rsid w:val="00F215B6"/>
    <w:rsid w:val="00F219E1"/>
    <w:rsid w:val="00F21EA8"/>
    <w:rsid w:val="00F22B94"/>
    <w:rsid w:val="00F22CE9"/>
    <w:rsid w:val="00F23211"/>
    <w:rsid w:val="00F23507"/>
    <w:rsid w:val="00F23C95"/>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5DC5"/>
    <w:rsid w:val="00F377FF"/>
    <w:rsid w:val="00F40353"/>
    <w:rsid w:val="00F406A6"/>
    <w:rsid w:val="00F40A51"/>
    <w:rsid w:val="00F40AFC"/>
    <w:rsid w:val="00F4127C"/>
    <w:rsid w:val="00F416BB"/>
    <w:rsid w:val="00F41C2C"/>
    <w:rsid w:val="00F420EA"/>
    <w:rsid w:val="00F424FB"/>
    <w:rsid w:val="00F428CA"/>
    <w:rsid w:val="00F4399F"/>
    <w:rsid w:val="00F44BA7"/>
    <w:rsid w:val="00F44FD4"/>
    <w:rsid w:val="00F4514B"/>
    <w:rsid w:val="00F45C34"/>
    <w:rsid w:val="00F5024A"/>
    <w:rsid w:val="00F50339"/>
    <w:rsid w:val="00F507B4"/>
    <w:rsid w:val="00F51B6B"/>
    <w:rsid w:val="00F52204"/>
    <w:rsid w:val="00F532EC"/>
    <w:rsid w:val="00F54736"/>
    <w:rsid w:val="00F54FA1"/>
    <w:rsid w:val="00F5511D"/>
    <w:rsid w:val="00F553D9"/>
    <w:rsid w:val="00F57ABA"/>
    <w:rsid w:val="00F57F9F"/>
    <w:rsid w:val="00F601EA"/>
    <w:rsid w:val="00F60B1F"/>
    <w:rsid w:val="00F6168A"/>
    <w:rsid w:val="00F62252"/>
    <w:rsid w:val="00F627A7"/>
    <w:rsid w:val="00F63506"/>
    <w:rsid w:val="00F63B24"/>
    <w:rsid w:val="00F64979"/>
    <w:rsid w:val="00F64CE0"/>
    <w:rsid w:val="00F65A28"/>
    <w:rsid w:val="00F6723F"/>
    <w:rsid w:val="00F673A0"/>
    <w:rsid w:val="00F67DDA"/>
    <w:rsid w:val="00F71DA2"/>
    <w:rsid w:val="00F71DAD"/>
    <w:rsid w:val="00F73F6E"/>
    <w:rsid w:val="00F74533"/>
    <w:rsid w:val="00F75299"/>
    <w:rsid w:val="00F7792E"/>
    <w:rsid w:val="00F80396"/>
    <w:rsid w:val="00F806BB"/>
    <w:rsid w:val="00F81E41"/>
    <w:rsid w:val="00F824CE"/>
    <w:rsid w:val="00F82513"/>
    <w:rsid w:val="00F83E73"/>
    <w:rsid w:val="00F842A5"/>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6B69"/>
    <w:rsid w:val="00F9764D"/>
    <w:rsid w:val="00F97C1F"/>
    <w:rsid w:val="00F97CFA"/>
    <w:rsid w:val="00F97E7E"/>
    <w:rsid w:val="00FA04B5"/>
    <w:rsid w:val="00FA0D51"/>
    <w:rsid w:val="00FA10C3"/>
    <w:rsid w:val="00FA1170"/>
    <w:rsid w:val="00FA1A26"/>
    <w:rsid w:val="00FA1DB9"/>
    <w:rsid w:val="00FA208E"/>
    <w:rsid w:val="00FA21C8"/>
    <w:rsid w:val="00FA2C3F"/>
    <w:rsid w:val="00FA2C87"/>
    <w:rsid w:val="00FA2F3F"/>
    <w:rsid w:val="00FA3DE3"/>
    <w:rsid w:val="00FA4B5F"/>
    <w:rsid w:val="00FA65DF"/>
    <w:rsid w:val="00FA6894"/>
    <w:rsid w:val="00FA6E41"/>
    <w:rsid w:val="00FA7539"/>
    <w:rsid w:val="00FA78CC"/>
    <w:rsid w:val="00FA7972"/>
    <w:rsid w:val="00FB088F"/>
    <w:rsid w:val="00FB19AA"/>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313E"/>
    <w:rsid w:val="00FC4248"/>
    <w:rsid w:val="00FC45B5"/>
    <w:rsid w:val="00FC5449"/>
    <w:rsid w:val="00FC6C56"/>
    <w:rsid w:val="00FC6E7E"/>
    <w:rsid w:val="00FC70A3"/>
    <w:rsid w:val="00FD0B64"/>
    <w:rsid w:val="00FD14D7"/>
    <w:rsid w:val="00FD1D74"/>
    <w:rsid w:val="00FD2C7C"/>
    <w:rsid w:val="00FD3695"/>
    <w:rsid w:val="00FD378A"/>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rPr>
      <w:sz w:val="24"/>
      <w:szCs w:val="24"/>
      <w:lang w:val="sv-SE" w:eastAsia="sv-SE"/>
    </w:r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0999BADC-2879-4F4A-81EC-894232E2D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981</TotalTime>
  <Pages>5</Pages>
  <Words>1613</Words>
  <Characters>8551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91</cp:revision>
  <cp:lastPrinted>1899-12-31T23:00:00Z</cp:lastPrinted>
  <dcterms:created xsi:type="dcterms:W3CDTF">2021-08-03T16:56:00Z</dcterms:created>
  <dcterms:modified xsi:type="dcterms:W3CDTF">2021-08-06T20:39:00Z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